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60"/>
      </w:tblGrid>
      <w:tr w:rsidR="00A368A7" w14:paraId="255E482E" w14:textId="77777777" w:rsidTr="782CA961">
        <w:trPr>
          <w:trHeight w:val="2125"/>
        </w:trPr>
        <w:tc>
          <w:tcPr>
            <w:tcW w:w="9360" w:type="dxa"/>
            <w:tcBorders>
              <w:top w:val="nil"/>
              <w:left w:val="nil"/>
              <w:bottom w:val="nil"/>
              <w:right w:val="nil"/>
            </w:tcBorders>
            <w:vAlign w:val="center"/>
          </w:tcPr>
          <w:p w14:paraId="41F0BCA4" w14:textId="77777777" w:rsidR="00A368A7" w:rsidRDefault="00BE30E2">
            <w:pPr>
              <w:pStyle w:val="Title"/>
              <w:jc w:val="center"/>
              <w:rPr>
                <w:sz w:val="40"/>
                <w:szCs w:val="40"/>
              </w:rPr>
            </w:pPr>
            <w:r>
              <w:rPr>
                <w:sz w:val="40"/>
                <w:szCs w:val="40"/>
              </w:rPr>
              <w:t>CAREERS EDUCATION, INFORMATION, ADVICE AND GUIDANCE (CEIAG) POLICY</w:t>
            </w:r>
          </w:p>
        </w:tc>
      </w:tr>
      <w:tr w:rsidR="00A368A7" w14:paraId="5601AA90" w14:textId="77777777" w:rsidTr="782CA961">
        <w:trPr>
          <w:trHeight w:val="7370"/>
        </w:trPr>
        <w:tc>
          <w:tcPr>
            <w:tcW w:w="9360" w:type="dxa"/>
            <w:tcBorders>
              <w:top w:val="nil"/>
              <w:left w:val="nil"/>
              <w:bottom w:val="nil"/>
              <w:right w:val="nil"/>
            </w:tcBorders>
          </w:tcPr>
          <w:p w14:paraId="672A6659" w14:textId="77777777" w:rsidR="00A368A7" w:rsidRDefault="00A368A7">
            <w:pPr>
              <w:jc w:val="center"/>
              <w:rPr>
                <w:noProof/>
              </w:rPr>
            </w:pPr>
          </w:p>
          <w:p w14:paraId="0A37501D" w14:textId="77777777" w:rsidR="00A368A7" w:rsidRDefault="00BE30E2">
            <w:pPr>
              <w:jc w:val="center"/>
              <w:rPr>
                <w:noProof/>
              </w:rPr>
            </w:pPr>
            <w:r>
              <w:rPr>
                <w:noProof/>
                <w:lang w:val="en-GB" w:eastAsia="en-GB"/>
              </w:rPr>
              <w:drawing>
                <wp:inline distT="0" distB="0" distL="0" distR="0" wp14:anchorId="31F08C72" wp14:editId="07777777">
                  <wp:extent cx="2402006" cy="2910090"/>
                  <wp:effectExtent l="0" t="0" r="0" b="5080"/>
                  <wp:docPr id="4" name="Picture 4" descr="King Edward VI Aston School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 Edward VI Aston School - 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7741" cy="2917038"/>
                          </a:xfrm>
                          <a:prstGeom prst="rect">
                            <a:avLst/>
                          </a:prstGeom>
                          <a:noFill/>
                          <a:ln>
                            <a:noFill/>
                          </a:ln>
                        </pic:spPr>
                      </pic:pic>
                    </a:graphicData>
                  </a:graphic>
                </wp:inline>
              </w:drawing>
            </w:r>
          </w:p>
          <w:p w14:paraId="5DAB6C7B" w14:textId="77777777" w:rsidR="00A368A7" w:rsidRDefault="00A368A7">
            <w:pPr>
              <w:jc w:val="center"/>
              <w:rPr>
                <w:noProof/>
              </w:rPr>
            </w:pPr>
          </w:p>
          <w:tbl>
            <w:tblPr>
              <w:tblStyle w:val="TableGrid"/>
              <w:tblpPr w:leftFromText="180" w:rightFromText="180" w:vertAnchor="text" w:horzAnchor="margin" w:tblpY="883"/>
              <w:tblOverlap w:val="never"/>
              <w:tblW w:w="0" w:type="auto"/>
              <w:tblLook w:val="04A0" w:firstRow="1" w:lastRow="0" w:firstColumn="1" w:lastColumn="0" w:noHBand="0" w:noVBand="1"/>
            </w:tblPr>
            <w:tblGrid>
              <w:gridCol w:w="3004"/>
              <w:gridCol w:w="6346"/>
            </w:tblGrid>
            <w:tr w:rsidR="00A368A7" w14:paraId="085F8C71" w14:textId="77777777" w:rsidTr="782CA961">
              <w:trPr>
                <w:trHeight w:val="567"/>
              </w:trPr>
              <w:tc>
                <w:tcPr>
                  <w:tcW w:w="3114" w:type="dxa"/>
                  <w:vAlign w:val="center"/>
                </w:tcPr>
                <w:p w14:paraId="23DCC235" w14:textId="77777777" w:rsidR="00A368A7" w:rsidRDefault="00BE30E2">
                  <w:pPr>
                    <w:pStyle w:val="EmphasisText"/>
                    <w:rPr>
                      <w:noProof/>
                    </w:rPr>
                  </w:pPr>
                  <w:r>
                    <w:rPr>
                      <w:noProof/>
                    </w:rPr>
                    <w:t>Responsible Board</w:t>
                  </w:r>
                </w:p>
              </w:tc>
              <w:tc>
                <w:tcPr>
                  <w:tcW w:w="6799" w:type="dxa"/>
                  <w:vAlign w:val="center"/>
                </w:tcPr>
                <w:p w14:paraId="1B413FA7" w14:textId="77777777" w:rsidR="00A368A7" w:rsidRDefault="00BE30E2">
                  <w:pPr>
                    <w:pStyle w:val="EmphasisText"/>
                    <w:rPr>
                      <w:noProof/>
                    </w:rPr>
                  </w:pPr>
                  <w:r>
                    <w:rPr>
                      <w:noProof/>
                    </w:rPr>
                    <w:t>Curriculum committe</w:t>
                  </w:r>
                </w:p>
              </w:tc>
            </w:tr>
            <w:tr w:rsidR="00A368A7" w14:paraId="3B1E1CA5" w14:textId="77777777" w:rsidTr="782CA961">
              <w:trPr>
                <w:trHeight w:val="567"/>
              </w:trPr>
              <w:tc>
                <w:tcPr>
                  <w:tcW w:w="3114" w:type="dxa"/>
                  <w:vAlign w:val="center"/>
                </w:tcPr>
                <w:p w14:paraId="3BC665DB" w14:textId="77777777" w:rsidR="00A368A7" w:rsidRDefault="00BE30E2">
                  <w:pPr>
                    <w:pStyle w:val="EmphasisText"/>
                    <w:rPr>
                      <w:noProof/>
                    </w:rPr>
                  </w:pPr>
                  <w:r>
                    <w:rPr>
                      <w:noProof/>
                    </w:rPr>
                    <w:t>Policy Officer</w:t>
                  </w:r>
                </w:p>
              </w:tc>
              <w:tc>
                <w:tcPr>
                  <w:tcW w:w="6799" w:type="dxa"/>
                  <w:vAlign w:val="center"/>
                </w:tcPr>
                <w:p w14:paraId="3BF669A7" w14:textId="77777777" w:rsidR="00A368A7" w:rsidRDefault="00BE30E2">
                  <w:pPr>
                    <w:pStyle w:val="EmphasisText"/>
                    <w:rPr>
                      <w:noProof/>
                    </w:rPr>
                  </w:pPr>
                  <w:r>
                    <w:rPr>
                      <w:noProof/>
                    </w:rPr>
                    <w:t>M Brady</w:t>
                  </w:r>
                </w:p>
              </w:tc>
            </w:tr>
            <w:tr w:rsidR="00A368A7" w14:paraId="49BEDCDC" w14:textId="77777777" w:rsidTr="782CA961">
              <w:trPr>
                <w:trHeight w:val="567"/>
              </w:trPr>
              <w:tc>
                <w:tcPr>
                  <w:tcW w:w="3114" w:type="dxa"/>
                  <w:vAlign w:val="center"/>
                </w:tcPr>
                <w:p w14:paraId="755FF8ED" w14:textId="77777777" w:rsidR="00A368A7" w:rsidRDefault="00BE30E2">
                  <w:pPr>
                    <w:pStyle w:val="EmphasisText"/>
                    <w:rPr>
                      <w:noProof/>
                    </w:rPr>
                  </w:pPr>
                  <w:r>
                    <w:rPr>
                      <w:noProof/>
                    </w:rPr>
                    <w:t>Date Adopted</w:t>
                  </w:r>
                </w:p>
              </w:tc>
              <w:tc>
                <w:tcPr>
                  <w:tcW w:w="6799" w:type="dxa"/>
                  <w:vAlign w:val="center"/>
                </w:tcPr>
                <w:p w14:paraId="59F26B83" w14:textId="77777777" w:rsidR="00A368A7" w:rsidRDefault="00BE30E2">
                  <w:pPr>
                    <w:pStyle w:val="EmphasisText"/>
                    <w:rPr>
                      <w:noProof/>
                    </w:rPr>
                  </w:pPr>
                  <w:r>
                    <w:rPr>
                      <w:noProof/>
                    </w:rPr>
                    <w:t>18</w:t>
                  </w:r>
                  <w:r>
                    <w:rPr>
                      <w:noProof/>
                      <w:vertAlign w:val="superscript"/>
                    </w:rPr>
                    <w:t>th</w:t>
                  </w:r>
                  <w:r>
                    <w:rPr>
                      <w:noProof/>
                    </w:rPr>
                    <w:t xml:space="preserve"> April 2022</w:t>
                  </w:r>
                </w:p>
              </w:tc>
            </w:tr>
            <w:tr w:rsidR="00A368A7" w14:paraId="7ECFCB22" w14:textId="77777777" w:rsidTr="782CA961">
              <w:trPr>
                <w:trHeight w:val="567"/>
              </w:trPr>
              <w:tc>
                <w:tcPr>
                  <w:tcW w:w="3114" w:type="dxa"/>
                  <w:vAlign w:val="center"/>
                </w:tcPr>
                <w:p w14:paraId="3444C577" w14:textId="77777777" w:rsidR="00A368A7" w:rsidRDefault="00BE30E2">
                  <w:pPr>
                    <w:pStyle w:val="EmphasisText"/>
                    <w:rPr>
                      <w:noProof/>
                    </w:rPr>
                  </w:pPr>
                  <w:r>
                    <w:rPr>
                      <w:noProof/>
                    </w:rPr>
                    <w:t>Last Reviewed</w:t>
                  </w:r>
                </w:p>
              </w:tc>
              <w:tc>
                <w:tcPr>
                  <w:tcW w:w="6799" w:type="dxa"/>
                  <w:vAlign w:val="center"/>
                </w:tcPr>
                <w:p w14:paraId="618501D2" w14:textId="7AE24C39" w:rsidR="00A368A7" w:rsidRDefault="00A368A7">
                  <w:pPr>
                    <w:pStyle w:val="EmphasisText"/>
                    <w:rPr>
                      <w:noProof/>
                    </w:rPr>
                  </w:pPr>
                </w:p>
              </w:tc>
            </w:tr>
            <w:tr w:rsidR="00A368A7" w14:paraId="723B1C96" w14:textId="77777777" w:rsidTr="782CA961">
              <w:trPr>
                <w:trHeight w:val="567"/>
              </w:trPr>
              <w:tc>
                <w:tcPr>
                  <w:tcW w:w="3114" w:type="dxa"/>
                  <w:vAlign w:val="center"/>
                </w:tcPr>
                <w:p w14:paraId="214437C8" w14:textId="77777777" w:rsidR="00A368A7" w:rsidRDefault="00BE30E2">
                  <w:pPr>
                    <w:pStyle w:val="EmphasisText"/>
                    <w:rPr>
                      <w:noProof/>
                    </w:rPr>
                  </w:pPr>
                  <w:r>
                    <w:rPr>
                      <w:noProof/>
                    </w:rPr>
                    <w:t>Reviewed by</w:t>
                  </w:r>
                </w:p>
              </w:tc>
              <w:tc>
                <w:tcPr>
                  <w:tcW w:w="6799" w:type="dxa"/>
                  <w:vAlign w:val="center"/>
                </w:tcPr>
                <w:p w14:paraId="6397C48B" w14:textId="77777777" w:rsidR="00A368A7" w:rsidRDefault="00BE30E2">
                  <w:pPr>
                    <w:pStyle w:val="EmphasisText"/>
                    <w:rPr>
                      <w:noProof/>
                    </w:rPr>
                  </w:pPr>
                  <w:r>
                    <w:rPr>
                      <w:noProof/>
                    </w:rPr>
                    <w:t>D Roberts</w:t>
                  </w:r>
                </w:p>
              </w:tc>
            </w:tr>
            <w:tr w:rsidR="00A368A7" w14:paraId="436FB75C" w14:textId="77777777" w:rsidTr="782CA961">
              <w:trPr>
                <w:trHeight w:val="567"/>
              </w:trPr>
              <w:tc>
                <w:tcPr>
                  <w:tcW w:w="3114" w:type="dxa"/>
                  <w:vAlign w:val="center"/>
                </w:tcPr>
                <w:p w14:paraId="765471B8" w14:textId="77777777" w:rsidR="00A368A7" w:rsidRDefault="00BE30E2">
                  <w:pPr>
                    <w:pStyle w:val="EmphasisText"/>
                    <w:rPr>
                      <w:noProof/>
                    </w:rPr>
                  </w:pPr>
                  <w:r>
                    <w:rPr>
                      <w:noProof/>
                    </w:rPr>
                    <w:t>Review date</w:t>
                  </w:r>
                </w:p>
              </w:tc>
              <w:tc>
                <w:tcPr>
                  <w:tcW w:w="6799" w:type="dxa"/>
                  <w:vAlign w:val="center"/>
                </w:tcPr>
                <w:p w14:paraId="07C6E07B" w14:textId="2FAE2A1E" w:rsidR="00A368A7" w:rsidRDefault="782CA961">
                  <w:pPr>
                    <w:pStyle w:val="EmphasisText"/>
                    <w:rPr>
                      <w:noProof/>
                    </w:rPr>
                  </w:pPr>
                  <w:r w:rsidRPr="782CA961">
                    <w:rPr>
                      <w:noProof/>
                    </w:rPr>
                    <w:t>31</w:t>
                  </w:r>
                  <w:r w:rsidRPr="782CA961">
                    <w:rPr>
                      <w:noProof/>
                      <w:vertAlign w:val="superscript"/>
                    </w:rPr>
                    <w:t>st</w:t>
                  </w:r>
                  <w:r w:rsidRPr="782CA961">
                    <w:rPr>
                      <w:noProof/>
                    </w:rPr>
                    <w:t xml:space="preserve"> March, 202</w:t>
                  </w:r>
                  <w:r w:rsidR="006344EA">
                    <w:rPr>
                      <w:noProof/>
                    </w:rPr>
                    <w:t>4</w:t>
                  </w:r>
                </w:p>
              </w:tc>
            </w:tr>
          </w:tbl>
          <w:p w14:paraId="02EB378F" w14:textId="77777777" w:rsidR="00A368A7" w:rsidRDefault="00A368A7">
            <w:pPr>
              <w:jc w:val="center"/>
              <w:rPr>
                <w:noProof/>
              </w:rPr>
            </w:pPr>
          </w:p>
        </w:tc>
      </w:tr>
      <w:tr w:rsidR="00A368A7" w14:paraId="6A05A809" w14:textId="77777777" w:rsidTr="782CA961">
        <w:trPr>
          <w:trHeight w:val="1417"/>
        </w:trPr>
        <w:tc>
          <w:tcPr>
            <w:tcW w:w="9360" w:type="dxa"/>
            <w:tcBorders>
              <w:top w:val="nil"/>
              <w:left w:val="nil"/>
              <w:bottom w:val="nil"/>
              <w:right w:val="nil"/>
            </w:tcBorders>
          </w:tcPr>
          <w:p w14:paraId="5A39BBE3" w14:textId="77777777" w:rsidR="00A368A7" w:rsidRDefault="00A368A7">
            <w:pPr>
              <w:pStyle w:val="Name"/>
              <w:jc w:val="center"/>
              <w:rPr>
                <w:noProof/>
                <w:color w:val="auto"/>
              </w:rPr>
            </w:pPr>
          </w:p>
        </w:tc>
      </w:tr>
    </w:tbl>
    <w:p w14:paraId="41C8F396" w14:textId="77777777" w:rsidR="00A368A7" w:rsidRDefault="00A368A7">
      <w:pPr>
        <w:tabs>
          <w:tab w:val="center" w:pos="4968"/>
        </w:tabs>
        <w:spacing w:after="200"/>
      </w:pPr>
    </w:p>
    <w:p w14:paraId="72A3D3EC" w14:textId="77777777" w:rsidR="00A368A7" w:rsidRDefault="00A368A7">
      <w:pPr>
        <w:tabs>
          <w:tab w:val="center" w:pos="4968"/>
        </w:tabs>
        <w:spacing w:after="200"/>
      </w:pPr>
    </w:p>
    <w:p w14:paraId="0D0B940D" w14:textId="77777777" w:rsidR="00A368A7" w:rsidRDefault="00A368A7">
      <w:pPr>
        <w:tabs>
          <w:tab w:val="center" w:pos="4968"/>
        </w:tabs>
        <w:spacing w:after="200"/>
      </w:pPr>
    </w:p>
    <w:p w14:paraId="0E27B00A" w14:textId="77777777" w:rsidR="00A368A7" w:rsidRDefault="00A368A7">
      <w:pPr>
        <w:tabs>
          <w:tab w:val="center" w:pos="4968"/>
        </w:tabs>
        <w:spacing w:after="200"/>
      </w:pPr>
    </w:p>
    <w:p w14:paraId="60061E4C" w14:textId="77777777" w:rsidR="00A368A7" w:rsidRDefault="00A368A7">
      <w:pPr>
        <w:tabs>
          <w:tab w:val="center" w:pos="4968"/>
        </w:tabs>
        <w:spacing w:after="200"/>
      </w:pPr>
    </w:p>
    <w:p w14:paraId="44EAFD9C" w14:textId="77777777" w:rsidR="00A368A7" w:rsidRDefault="00A368A7">
      <w:pPr>
        <w:tabs>
          <w:tab w:val="center" w:pos="4968"/>
        </w:tabs>
        <w:spacing w:after="200"/>
      </w:pPr>
    </w:p>
    <w:p w14:paraId="4B94D5A5" w14:textId="77777777" w:rsidR="00A368A7" w:rsidRDefault="00A368A7">
      <w:pPr>
        <w:tabs>
          <w:tab w:val="center" w:pos="4968"/>
        </w:tabs>
        <w:spacing w:after="200"/>
      </w:pPr>
    </w:p>
    <w:p w14:paraId="3DEEC669" w14:textId="77777777" w:rsidR="00A368A7" w:rsidRDefault="00A368A7">
      <w:pPr>
        <w:tabs>
          <w:tab w:val="center" w:pos="4968"/>
        </w:tabs>
        <w:spacing w:after="200"/>
      </w:pPr>
    </w:p>
    <w:p w14:paraId="3656B9AB" w14:textId="77777777" w:rsidR="00A368A7" w:rsidRDefault="00A368A7">
      <w:pPr>
        <w:tabs>
          <w:tab w:val="center" w:pos="4968"/>
        </w:tabs>
        <w:spacing w:after="200"/>
      </w:pPr>
    </w:p>
    <w:p w14:paraId="45FB0818" w14:textId="77777777" w:rsidR="00A368A7" w:rsidRDefault="00A368A7">
      <w:pPr>
        <w:tabs>
          <w:tab w:val="center" w:pos="4968"/>
        </w:tabs>
        <w:spacing w:after="200"/>
      </w:pPr>
    </w:p>
    <w:p w14:paraId="049F31CB" w14:textId="77777777" w:rsidR="00A368A7" w:rsidRDefault="00A368A7">
      <w:pPr>
        <w:tabs>
          <w:tab w:val="center" w:pos="4968"/>
        </w:tabs>
        <w:spacing w:after="200"/>
      </w:pPr>
    </w:p>
    <w:p w14:paraId="53128261" w14:textId="77777777" w:rsidR="00A368A7" w:rsidRDefault="00A368A7">
      <w:pPr>
        <w:tabs>
          <w:tab w:val="center" w:pos="4968"/>
        </w:tabs>
        <w:spacing w:after="200"/>
      </w:pPr>
    </w:p>
    <w:p w14:paraId="62486C05" w14:textId="77777777" w:rsidR="00A368A7" w:rsidRDefault="00A368A7">
      <w:pPr>
        <w:tabs>
          <w:tab w:val="center" w:pos="4968"/>
        </w:tabs>
        <w:spacing w:after="200"/>
      </w:pPr>
    </w:p>
    <w:p w14:paraId="4101652C" w14:textId="77777777" w:rsidR="00A368A7" w:rsidRDefault="00A368A7">
      <w:pPr>
        <w:tabs>
          <w:tab w:val="center" w:pos="4968"/>
        </w:tabs>
        <w:spacing w:after="200"/>
      </w:pPr>
    </w:p>
    <w:p w14:paraId="4B99056E" w14:textId="77777777" w:rsidR="00A368A7" w:rsidRDefault="00A368A7">
      <w:pPr>
        <w:tabs>
          <w:tab w:val="center" w:pos="4968"/>
        </w:tabs>
        <w:spacing w:after="200"/>
      </w:pPr>
    </w:p>
    <w:p w14:paraId="1299C43A" w14:textId="77777777" w:rsidR="00A368A7" w:rsidRDefault="00A368A7">
      <w:pPr>
        <w:tabs>
          <w:tab w:val="center" w:pos="4968"/>
        </w:tabs>
        <w:spacing w:after="200"/>
      </w:pPr>
    </w:p>
    <w:p w14:paraId="4DDBEF00" w14:textId="77777777" w:rsidR="00A368A7" w:rsidRDefault="00A368A7">
      <w:pPr>
        <w:tabs>
          <w:tab w:val="center" w:pos="4968"/>
        </w:tabs>
        <w:spacing w:after="200"/>
      </w:pPr>
    </w:p>
    <w:p w14:paraId="3461D779" w14:textId="77777777" w:rsidR="00A368A7" w:rsidRDefault="00A368A7">
      <w:pPr>
        <w:tabs>
          <w:tab w:val="center" w:pos="4968"/>
        </w:tabs>
        <w:spacing w:after="200"/>
      </w:pPr>
    </w:p>
    <w:p w14:paraId="3CF2D8B6" w14:textId="77777777" w:rsidR="00A368A7" w:rsidRDefault="00A368A7">
      <w:pPr>
        <w:tabs>
          <w:tab w:val="center" w:pos="4968"/>
        </w:tabs>
        <w:spacing w:after="200"/>
      </w:pPr>
    </w:p>
    <w:p w14:paraId="0FB78278" w14:textId="77777777" w:rsidR="00A368A7" w:rsidRDefault="00A368A7">
      <w:pPr>
        <w:tabs>
          <w:tab w:val="center" w:pos="4968"/>
        </w:tabs>
        <w:spacing w:after="200"/>
      </w:pPr>
    </w:p>
    <w:p w14:paraId="1FC39945" w14:textId="77777777" w:rsidR="00A368A7" w:rsidRDefault="00A368A7">
      <w:pPr>
        <w:tabs>
          <w:tab w:val="center" w:pos="4968"/>
        </w:tabs>
        <w:spacing w:after="200"/>
      </w:pPr>
    </w:p>
    <w:p w14:paraId="0562CB0E" w14:textId="77777777" w:rsidR="00A368A7" w:rsidRDefault="00A368A7">
      <w:pPr>
        <w:tabs>
          <w:tab w:val="center" w:pos="4968"/>
        </w:tabs>
        <w:spacing w:after="200"/>
      </w:pPr>
    </w:p>
    <w:p w14:paraId="34CE0A41" w14:textId="77777777" w:rsidR="00A368A7" w:rsidRDefault="00A368A7">
      <w:pPr>
        <w:tabs>
          <w:tab w:val="center" w:pos="4968"/>
        </w:tabs>
        <w:spacing w:after="200"/>
      </w:pPr>
    </w:p>
    <w:p w14:paraId="62EBF3C5" w14:textId="77777777" w:rsidR="00A368A7" w:rsidRDefault="00A368A7">
      <w:pPr>
        <w:tabs>
          <w:tab w:val="center" w:pos="4968"/>
        </w:tabs>
        <w:spacing w:after="200"/>
      </w:pPr>
    </w:p>
    <w:p w14:paraId="6D98A12B" w14:textId="77777777" w:rsidR="00A368A7" w:rsidRDefault="00A368A7">
      <w:pPr>
        <w:tabs>
          <w:tab w:val="center" w:pos="4968"/>
        </w:tabs>
        <w:spacing w:after="200"/>
      </w:pPr>
    </w:p>
    <w:p w14:paraId="2946DB82" w14:textId="77777777" w:rsidR="00A368A7" w:rsidRDefault="00A368A7">
      <w:pPr>
        <w:tabs>
          <w:tab w:val="center" w:pos="4968"/>
        </w:tabs>
        <w:spacing w:after="200"/>
      </w:pPr>
    </w:p>
    <w:p w14:paraId="0D453504" w14:textId="77777777" w:rsidR="00A368A7" w:rsidRDefault="00BE30E2">
      <w:pPr>
        <w:spacing w:after="200"/>
        <w:rPr>
          <w:rFonts w:ascii="Calibri" w:eastAsia="Calibri" w:hAnsi="Calibri" w:cs="Times New Roman"/>
          <w:color w:val="auto"/>
          <w:sz w:val="22"/>
          <w:lang w:val="en-GB"/>
        </w:rPr>
      </w:pPr>
      <w:r>
        <w:rPr>
          <w:rFonts w:ascii="Calibri" w:eastAsia="Calibri" w:hAnsi="Calibri" w:cs="Times New Roman"/>
          <w:color w:val="auto"/>
          <w:sz w:val="22"/>
          <w:lang w:val="en-GB"/>
        </w:rPr>
        <w:lastRenderedPageBreak/>
        <w:t>CONTEXT</w:t>
      </w:r>
    </w:p>
    <w:p w14:paraId="6E53CCFC" w14:textId="77777777" w:rsidR="00A368A7" w:rsidRDefault="00BE30E2">
      <w:pPr>
        <w:spacing w:after="200"/>
        <w:jc w:val="both"/>
        <w:rPr>
          <w:rFonts w:ascii="Arial" w:eastAsia="Calibri" w:hAnsi="Arial" w:cs="Arial"/>
          <w:b w:val="0"/>
          <w:color w:val="auto"/>
          <w:sz w:val="22"/>
          <w:lang w:val="en-GB"/>
        </w:rPr>
      </w:pPr>
      <w:r>
        <w:rPr>
          <w:rFonts w:ascii="Arial" w:eastAsia="Calibri" w:hAnsi="Arial" w:cs="Arial"/>
          <w:b w:val="0"/>
          <w:color w:val="auto"/>
          <w:sz w:val="22"/>
          <w:lang w:val="en-GB"/>
        </w:rPr>
        <w:t xml:space="preserve">In January 2018 new statutory guidance was issued by the Department for Education (‘Careers guidance and access for education and training providers’) placing a duty on schools in England to secure independent, impartial guidance for all students in Years 8 to 13.  </w:t>
      </w:r>
    </w:p>
    <w:p w14:paraId="2549228D" w14:textId="77777777" w:rsidR="00A368A7" w:rsidRDefault="00BE30E2">
      <w:pPr>
        <w:spacing w:after="200" w:line="240" w:lineRule="auto"/>
        <w:jc w:val="both"/>
        <w:rPr>
          <w:rFonts w:ascii="Arial" w:eastAsia="Calibri" w:hAnsi="Arial" w:cs="Arial"/>
          <w:b w:val="0"/>
          <w:color w:val="auto"/>
          <w:sz w:val="22"/>
          <w:lang w:val="en-GB"/>
        </w:rPr>
      </w:pPr>
      <w:r>
        <w:rPr>
          <w:rFonts w:ascii="Arial" w:eastAsia="Calibri" w:hAnsi="Arial" w:cs="Arial"/>
          <w:b w:val="0"/>
          <w:color w:val="auto"/>
          <w:sz w:val="22"/>
          <w:lang w:val="en-GB"/>
        </w:rPr>
        <w:t xml:space="preserve">A further addition to the Technical and Further Education Act 2017 states that schools in England “must ensure that there is an opportunity for a range of education and training providers to access registered pupils during the relevant phase of their education, for the purpose of informing them about approved technical education qualifications or apprenticeships”. </w:t>
      </w:r>
    </w:p>
    <w:p w14:paraId="0A2AC1A2" w14:textId="77777777" w:rsidR="00A368A7" w:rsidRDefault="00BE30E2">
      <w:pPr>
        <w:spacing w:after="200"/>
        <w:jc w:val="both"/>
        <w:rPr>
          <w:rFonts w:ascii="Arial" w:eastAsia="Calibri" w:hAnsi="Arial" w:cs="Arial"/>
          <w:b w:val="0"/>
          <w:color w:val="auto"/>
          <w:sz w:val="22"/>
          <w:lang w:val="en-GB"/>
        </w:rPr>
      </w:pPr>
      <w:r>
        <w:rPr>
          <w:rFonts w:ascii="Arial" w:eastAsia="Calibri" w:hAnsi="Arial" w:cs="Arial"/>
          <w:b w:val="0"/>
          <w:color w:val="auto"/>
          <w:sz w:val="22"/>
          <w:lang w:val="en-GB"/>
        </w:rPr>
        <w:t xml:space="preserve">Commencing September 2017, K.E. Aston started working with The ‘Learn to Work’ Team, as their Independent impartial careers provider. This was in addition to the opportunities that are currently available so as to further enhance the careers education programme that we offer. This will not prohibit school staff from offering CEIAG as long as it is supplemented from an independent source.  The school will have the flexibility to choose how to secure independent careers guidance. </w:t>
      </w:r>
    </w:p>
    <w:p w14:paraId="6377AAD4" w14:textId="77777777" w:rsidR="00A368A7" w:rsidRDefault="00BE30E2">
      <w:pPr>
        <w:spacing w:after="200"/>
        <w:jc w:val="both"/>
        <w:rPr>
          <w:rFonts w:ascii="Arial" w:eastAsia="Calibri" w:hAnsi="Arial" w:cs="Arial"/>
          <w:b w:val="0"/>
          <w:color w:val="auto"/>
          <w:sz w:val="22"/>
          <w:lang w:val="en-GB"/>
        </w:rPr>
      </w:pPr>
      <w:r>
        <w:rPr>
          <w:rFonts w:ascii="Arial" w:eastAsia="Calibri" w:hAnsi="Arial" w:cs="Arial"/>
          <w:b w:val="0"/>
          <w:color w:val="auto"/>
          <w:sz w:val="22"/>
          <w:lang w:val="en-GB"/>
        </w:rPr>
        <w:t>Each year around 80% of our cohort stay on in to our Sixth Form from Year 11. They are joined by over 50 pupils from other centres at the start of Year 12; of these around 85% of the cohort go on to University. At each point of ‘transition’ we strive to ensure that our students are purposefully provisioned in terms of advice and guidance, including information and support regarding options, university study, apprenticeships, employment or further study with another provider.</w:t>
      </w:r>
    </w:p>
    <w:p w14:paraId="6131D377" w14:textId="77777777" w:rsidR="00A368A7" w:rsidRDefault="00BE30E2">
      <w:pPr>
        <w:spacing w:after="200"/>
        <w:rPr>
          <w:rFonts w:ascii="Arial" w:eastAsia="Calibri" w:hAnsi="Arial" w:cs="Arial"/>
          <w:color w:val="auto"/>
          <w:sz w:val="22"/>
          <w:lang w:val="en-GB"/>
        </w:rPr>
      </w:pPr>
      <w:r>
        <w:rPr>
          <w:rFonts w:ascii="Arial" w:eastAsia="Calibri" w:hAnsi="Arial" w:cs="Arial"/>
          <w:color w:val="auto"/>
          <w:sz w:val="22"/>
          <w:lang w:val="en-GB"/>
        </w:rPr>
        <w:t>DEFINITIONS</w:t>
      </w:r>
    </w:p>
    <w:p w14:paraId="725CEF46" w14:textId="77777777" w:rsidR="00A368A7" w:rsidRDefault="00BE30E2">
      <w:pPr>
        <w:spacing w:after="200"/>
        <w:rPr>
          <w:rFonts w:ascii="Arial" w:eastAsia="Calibri" w:hAnsi="Arial" w:cs="Arial"/>
          <w:b w:val="0"/>
          <w:color w:val="auto"/>
          <w:sz w:val="22"/>
          <w:lang w:val="en-GB"/>
        </w:rPr>
      </w:pPr>
      <w:r>
        <w:rPr>
          <w:rFonts w:ascii="Arial" w:eastAsia="Calibri" w:hAnsi="Arial" w:cs="Arial"/>
          <w:b w:val="0"/>
          <w:color w:val="auto"/>
          <w:sz w:val="22"/>
          <w:lang w:val="en-GB"/>
        </w:rPr>
        <w:t>CEIAG has four essential and interlinked principles:</w:t>
      </w:r>
    </w:p>
    <w:p w14:paraId="39160D42" w14:textId="77777777" w:rsidR="00A368A7" w:rsidRDefault="00BE30E2">
      <w:pPr>
        <w:numPr>
          <w:ilvl w:val="0"/>
          <w:numId w:val="1"/>
        </w:numPr>
        <w:spacing w:after="200"/>
        <w:contextualSpacing/>
        <w:rPr>
          <w:rFonts w:ascii="Arial" w:eastAsia="Calibri" w:hAnsi="Arial" w:cs="Arial"/>
          <w:b w:val="0"/>
          <w:color w:val="auto"/>
          <w:sz w:val="22"/>
          <w:lang w:val="en-GB"/>
        </w:rPr>
      </w:pPr>
      <w:r>
        <w:rPr>
          <w:rFonts w:ascii="Arial" w:eastAsia="Calibri" w:hAnsi="Arial" w:cs="Arial"/>
          <w:b w:val="0"/>
          <w:color w:val="auto"/>
          <w:sz w:val="22"/>
          <w:lang w:val="en-GB"/>
        </w:rPr>
        <w:t>Careers education - a planned programme in the curriculum that give students the knowledge and skills for planning and managing their careers.</w:t>
      </w:r>
    </w:p>
    <w:p w14:paraId="5443FF15" w14:textId="77777777" w:rsidR="00A368A7" w:rsidRDefault="00BE30E2">
      <w:pPr>
        <w:numPr>
          <w:ilvl w:val="0"/>
          <w:numId w:val="1"/>
        </w:numPr>
        <w:spacing w:after="200"/>
        <w:contextualSpacing/>
        <w:rPr>
          <w:rFonts w:ascii="Arial" w:eastAsia="Calibri" w:hAnsi="Arial" w:cs="Arial"/>
          <w:b w:val="0"/>
          <w:color w:val="auto"/>
          <w:sz w:val="22"/>
          <w:lang w:val="en-GB"/>
        </w:rPr>
      </w:pPr>
      <w:r>
        <w:rPr>
          <w:rFonts w:ascii="Arial" w:eastAsia="Calibri" w:hAnsi="Arial" w:cs="Arial"/>
          <w:b w:val="0"/>
          <w:color w:val="auto"/>
          <w:sz w:val="22"/>
          <w:lang w:val="en-GB"/>
        </w:rPr>
        <w:t>Careers information – including learning options, skills, occupations, labour market information and progression routes.</w:t>
      </w:r>
    </w:p>
    <w:p w14:paraId="055EF947" w14:textId="77777777" w:rsidR="00A368A7" w:rsidRDefault="00BE30E2">
      <w:pPr>
        <w:numPr>
          <w:ilvl w:val="0"/>
          <w:numId w:val="1"/>
        </w:numPr>
        <w:spacing w:after="200"/>
        <w:contextualSpacing/>
        <w:rPr>
          <w:rFonts w:ascii="Arial" w:eastAsia="Calibri" w:hAnsi="Arial" w:cs="Arial"/>
          <w:b w:val="0"/>
          <w:color w:val="auto"/>
          <w:sz w:val="22"/>
          <w:lang w:val="en-GB"/>
        </w:rPr>
      </w:pPr>
      <w:r>
        <w:rPr>
          <w:rFonts w:ascii="Arial" w:eastAsia="Calibri" w:hAnsi="Arial" w:cs="Arial"/>
          <w:b w:val="0"/>
          <w:color w:val="auto"/>
          <w:sz w:val="22"/>
          <w:lang w:val="en-GB"/>
        </w:rPr>
        <w:t>Careers advice and guidance – personalised help from specialist advisers to identify long-term goals and plan steps to attain them.</w:t>
      </w:r>
    </w:p>
    <w:p w14:paraId="454C4E52" w14:textId="77777777" w:rsidR="00A368A7" w:rsidRDefault="00BE30E2">
      <w:pPr>
        <w:numPr>
          <w:ilvl w:val="0"/>
          <w:numId w:val="1"/>
        </w:numPr>
        <w:spacing w:after="200"/>
        <w:contextualSpacing/>
        <w:rPr>
          <w:rFonts w:ascii="Arial" w:eastAsia="Calibri" w:hAnsi="Arial" w:cs="Arial"/>
          <w:b w:val="0"/>
          <w:color w:val="auto"/>
          <w:sz w:val="22"/>
          <w:lang w:val="en-GB"/>
        </w:rPr>
      </w:pPr>
      <w:r>
        <w:rPr>
          <w:rFonts w:ascii="Arial" w:eastAsia="Calibri" w:hAnsi="Arial" w:cs="Arial"/>
          <w:b w:val="0"/>
          <w:color w:val="auto"/>
          <w:sz w:val="22"/>
          <w:lang w:val="en-GB"/>
        </w:rPr>
        <w:t>Work related learning – experiences within and outside of the curriculum that help students learn about economic wellbeing, careers and enterprise.</w:t>
      </w:r>
    </w:p>
    <w:p w14:paraId="5997CC1D" w14:textId="77777777" w:rsidR="00A368A7" w:rsidRDefault="00A368A7">
      <w:pPr>
        <w:spacing w:after="200"/>
        <w:jc w:val="both"/>
        <w:rPr>
          <w:rFonts w:ascii="Arial" w:eastAsia="Calibri" w:hAnsi="Arial" w:cs="Arial"/>
          <w:b w:val="0"/>
          <w:color w:val="auto"/>
          <w:sz w:val="22"/>
          <w:lang w:val="en-GB"/>
        </w:rPr>
      </w:pPr>
    </w:p>
    <w:p w14:paraId="003C5C4B" w14:textId="77777777" w:rsidR="00A368A7" w:rsidRDefault="00BE30E2">
      <w:pPr>
        <w:spacing w:after="200"/>
        <w:jc w:val="both"/>
        <w:rPr>
          <w:rFonts w:ascii="Arial" w:eastAsia="Calibri" w:hAnsi="Arial" w:cs="Arial"/>
          <w:b w:val="0"/>
          <w:color w:val="auto"/>
          <w:sz w:val="22"/>
          <w:lang w:val="en-GB"/>
        </w:rPr>
      </w:pPr>
      <w:r>
        <w:rPr>
          <w:rFonts w:ascii="Arial" w:eastAsia="Calibri" w:hAnsi="Arial" w:cs="Arial"/>
          <w:b w:val="0"/>
          <w:color w:val="auto"/>
          <w:sz w:val="22"/>
          <w:lang w:val="en-GB"/>
        </w:rPr>
        <w:t>The intention at King Edward VI Aston School is to continually revise and develop the CEIAG programme across all key stages as new initiatives are introduced and previous activities are evaluated.</w:t>
      </w:r>
    </w:p>
    <w:p w14:paraId="10047996" w14:textId="77777777" w:rsidR="00A368A7" w:rsidRDefault="00BE30E2">
      <w:pPr>
        <w:spacing w:after="200"/>
        <w:rPr>
          <w:rFonts w:ascii="Arial" w:eastAsia="Calibri" w:hAnsi="Arial" w:cs="Arial"/>
          <w:b w:val="0"/>
          <w:color w:val="auto"/>
          <w:sz w:val="22"/>
          <w:lang w:val="en-GB"/>
        </w:rPr>
      </w:pPr>
      <w:r>
        <w:rPr>
          <w:rFonts w:ascii="Arial" w:eastAsia="Calibri" w:hAnsi="Arial" w:cs="Arial"/>
          <w:b w:val="0"/>
          <w:color w:val="auto"/>
          <w:sz w:val="22"/>
          <w:lang w:val="en-GB"/>
        </w:rPr>
        <w:br w:type="page"/>
      </w:r>
      <w:r>
        <w:rPr>
          <w:rFonts w:ascii="Arial" w:eastAsia="Calibri" w:hAnsi="Arial" w:cs="Arial"/>
          <w:color w:val="auto"/>
          <w:sz w:val="22"/>
          <w:lang w:val="en-GB"/>
        </w:rPr>
        <w:lastRenderedPageBreak/>
        <w:t>RATIONALE</w:t>
      </w:r>
    </w:p>
    <w:p w14:paraId="1B14506B" w14:textId="77777777" w:rsidR="00A368A7" w:rsidRDefault="00BE30E2">
      <w:pPr>
        <w:spacing w:after="200"/>
        <w:jc w:val="both"/>
        <w:rPr>
          <w:rFonts w:ascii="Arial" w:eastAsia="Calibri" w:hAnsi="Arial" w:cs="Arial"/>
          <w:b w:val="0"/>
          <w:color w:val="auto"/>
          <w:sz w:val="22"/>
          <w:lang w:val="en-GB"/>
        </w:rPr>
      </w:pPr>
      <w:r>
        <w:rPr>
          <w:rFonts w:ascii="Arial" w:eastAsia="Calibri" w:hAnsi="Arial" w:cs="Arial"/>
          <w:b w:val="0"/>
          <w:color w:val="auto"/>
          <w:sz w:val="22"/>
          <w:lang w:val="en-GB"/>
        </w:rPr>
        <w:t>All learners need a planned programme of activities to help them choose the 14-19 pathways that are right for them, and be able to manage their careers, sustain employability and achieve personal and economic wellbeing throughout their lives.</w:t>
      </w:r>
    </w:p>
    <w:p w14:paraId="747E6CA3" w14:textId="77777777" w:rsidR="00A368A7" w:rsidRDefault="00BE30E2">
      <w:pPr>
        <w:spacing w:after="200"/>
        <w:jc w:val="both"/>
        <w:rPr>
          <w:rFonts w:ascii="Arial" w:eastAsia="Calibri" w:hAnsi="Arial" w:cs="Arial"/>
          <w:b w:val="0"/>
          <w:color w:val="auto"/>
          <w:sz w:val="22"/>
          <w:lang w:val="en-GB"/>
        </w:rPr>
      </w:pPr>
      <w:r>
        <w:rPr>
          <w:rFonts w:ascii="Arial" w:eastAsia="Calibri" w:hAnsi="Arial" w:cs="Arial"/>
          <w:b w:val="0"/>
          <w:color w:val="auto"/>
          <w:sz w:val="22"/>
          <w:lang w:val="en-GB"/>
        </w:rPr>
        <w:t>The school is committed to providing a planned programme of impartial careers education and information, advice and guidance (CEIAG) for all boys in Y7 – 13, in partnership with external providers; and to provide extra support for boys with additional learning needs.</w:t>
      </w:r>
    </w:p>
    <w:p w14:paraId="6C8EF8FF" w14:textId="77777777" w:rsidR="00A368A7" w:rsidRDefault="00BE30E2">
      <w:pPr>
        <w:spacing w:after="200"/>
        <w:jc w:val="both"/>
        <w:rPr>
          <w:rFonts w:ascii="Arial" w:eastAsia="Calibri" w:hAnsi="Arial" w:cs="Arial"/>
          <w:b w:val="0"/>
          <w:color w:val="auto"/>
          <w:sz w:val="22"/>
          <w:lang w:val="en-GB"/>
        </w:rPr>
      </w:pPr>
      <w:r>
        <w:rPr>
          <w:rFonts w:ascii="Arial" w:eastAsia="Calibri" w:hAnsi="Arial" w:cs="Arial"/>
          <w:b w:val="0"/>
          <w:color w:val="auto"/>
          <w:sz w:val="22"/>
          <w:lang w:val="en-GB"/>
        </w:rPr>
        <w:t>The is achieved by the delivery of high quality CEIAG and work experience for all students through the following activities:</w:t>
      </w:r>
    </w:p>
    <w:p w14:paraId="7BE18214" w14:textId="77777777" w:rsidR="00A368A7" w:rsidRDefault="00BE30E2">
      <w:pPr>
        <w:numPr>
          <w:ilvl w:val="1"/>
          <w:numId w:val="11"/>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Our CEIAG coordinator designs and manages CEIAG and work experience and reports directly to a member of the Senior Leadership Team;</w:t>
      </w:r>
    </w:p>
    <w:p w14:paraId="557D0B7E" w14:textId="77777777" w:rsidR="00A368A7" w:rsidRDefault="00BE30E2">
      <w:pPr>
        <w:numPr>
          <w:ilvl w:val="1"/>
          <w:numId w:val="11"/>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PSHE programme based on the delivery of Unifrog modules in years 7-11</w:t>
      </w:r>
    </w:p>
    <w:p w14:paraId="18314475" w14:textId="77777777" w:rsidR="00A368A7" w:rsidRDefault="00BE30E2">
      <w:pPr>
        <w:numPr>
          <w:ilvl w:val="1"/>
          <w:numId w:val="11"/>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 xml:space="preserve">Our curriculum is mapped to CEIAG with employment links being flagged up as topics are delivered </w:t>
      </w:r>
    </w:p>
    <w:p w14:paraId="57AF81A1" w14:textId="77777777" w:rsidR="00A368A7" w:rsidRDefault="00BE30E2">
      <w:pPr>
        <w:numPr>
          <w:ilvl w:val="1"/>
          <w:numId w:val="11"/>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All staff are expected to contribute to CEIAG through their roles as form tutors and subject teachers;</w:t>
      </w:r>
    </w:p>
    <w:p w14:paraId="297C2B7D" w14:textId="77777777" w:rsidR="00A368A7" w:rsidRDefault="00BE30E2">
      <w:pPr>
        <w:numPr>
          <w:ilvl w:val="1"/>
          <w:numId w:val="11"/>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 xml:space="preserve">An independent Careers Advisor (Level 6 qualified) provides impartial information, advice and guidance, </w:t>
      </w:r>
    </w:p>
    <w:p w14:paraId="1DF8DAA6" w14:textId="77777777" w:rsidR="00A368A7" w:rsidRDefault="00BE30E2">
      <w:pPr>
        <w:numPr>
          <w:ilvl w:val="1"/>
          <w:numId w:val="11"/>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Inspiring IAG auditors work with the school to secure evidence of compliance with the stringent requirements of the Careers Award</w:t>
      </w:r>
    </w:p>
    <w:p w14:paraId="50F5070D" w14:textId="77777777" w:rsidR="00A368A7" w:rsidRDefault="00BE30E2">
      <w:pPr>
        <w:spacing w:after="200"/>
        <w:jc w:val="both"/>
        <w:rPr>
          <w:rFonts w:ascii="Arial" w:eastAsia="Calibri" w:hAnsi="Arial" w:cs="Arial"/>
          <w:b w:val="0"/>
          <w:color w:val="auto"/>
          <w:sz w:val="22"/>
          <w:lang w:val="en-GB"/>
        </w:rPr>
      </w:pPr>
      <w:r>
        <w:rPr>
          <w:rFonts w:ascii="Arial" w:eastAsia="Calibri" w:hAnsi="Arial" w:cs="Arial"/>
          <w:color w:val="auto"/>
          <w:sz w:val="22"/>
          <w:lang w:val="en-GB"/>
        </w:rPr>
        <w:t>AIM</w:t>
      </w:r>
    </w:p>
    <w:p w14:paraId="2CE984FA" w14:textId="77777777" w:rsidR="00A368A7" w:rsidRDefault="00BE30E2">
      <w:pPr>
        <w:spacing w:after="200"/>
        <w:jc w:val="both"/>
        <w:rPr>
          <w:rFonts w:ascii="Arial" w:eastAsia="Calibri" w:hAnsi="Arial" w:cs="Arial"/>
          <w:b w:val="0"/>
          <w:color w:val="auto"/>
          <w:sz w:val="22"/>
          <w:lang w:val="en-GB"/>
        </w:rPr>
      </w:pPr>
      <w:r>
        <w:rPr>
          <w:rFonts w:ascii="Arial" w:eastAsia="Calibri" w:hAnsi="Arial" w:cs="Arial"/>
          <w:b w:val="0"/>
          <w:color w:val="auto"/>
          <w:sz w:val="22"/>
          <w:lang w:val="en-GB"/>
        </w:rPr>
        <w:t>Our aims are to</w:t>
      </w:r>
    </w:p>
    <w:p w14:paraId="0DDE0B2F" w14:textId="77777777" w:rsidR="00A368A7" w:rsidRDefault="00BE30E2">
      <w:pPr>
        <w:numPr>
          <w:ilvl w:val="0"/>
          <w:numId w:val="9"/>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Equip pupils/students with the knowledge and skills that they need to make informed decisions about their learning and work through a programme of careers education</w:t>
      </w:r>
    </w:p>
    <w:p w14:paraId="4938814F" w14:textId="77777777" w:rsidR="00A368A7" w:rsidRDefault="00BE30E2">
      <w:pPr>
        <w:numPr>
          <w:ilvl w:val="0"/>
          <w:numId w:val="9"/>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Support pupils/students through personalised information, advice and guidance to enable them to build up the confidence to take charge of their careers and effectively manage their own progression through learning and work</w:t>
      </w:r>
    </w:p>
    <w:p w14:paraId="110FFD37" w14:textId="77777777" w:rsidR="00A368A7" w:rsidRDefault="00A368A7">
      <w:pPr>
        <w:spacing w:after="200"/>
        <w:jc w:val="both"/>
        <w:rPr>
          <w:rFonts w:ascii="Arial" w:eastAsia="Calibri" w:hAnsi="Arial" w:cs="Arial"/>
          <w:color w:val="auto"/>
          <w:sz w:val="22"/>
          <w:lang w:val="en-GB"/>
        </w:rPr>
      </w:pPr>
    </w:p>
    <w:p w14:paraId="52F962E8" w14:textId="77777777" w:rsidR="00A368A7" w:rsidRDefault="00BE30E2">
      <w:pPr>
        <w:spacing w:after="200"/>
        <w:jc w:val="both"/>
        <w:rPr>
          <w:rFonts w:ascii="Arial" w:eastAsia="Calibri" w:hAnsi="Arial" w:cs="Arial"/>
          <w:color w:val="auto"/>
          <w:sz w:val="22"/>
          <w:lang w:val="en-GB"/>
        </w:rPr>
      </w:pPr>
      <w:r>
        <w:rPr>
          <w:rFonts w:ascii="Arial" w:eastAsia="Calibri" w:hAnsi="Arial" w:cs="Arial"/>
          <w:color w:val="auto"/>
          <w:sz w:val="22"/>
          <w:lang w:val="en-GB"/>
        </w:rPr>
        <w:t>OBJECTIVES</w:t>
      </w:r>
    </w:p>
    <w:p w14:paraId="4D34BCD9" w14:textId="77777777" w:rsidR="00A368A7" w:rsidRDefault="00BE30E2">
      <w:pPr>
        <w:spacing w:after="200"/>
        <w:jc w:val="both"/>
        <w:rPr>
          <w:rFonts w:ascii="Arial" w:eastAsia="Calibri" w:hAnsi="Arial" w:cs="Arial"/>
          <w:b w:val="0"/>
          <w:color w:val="auto"/>
          <w:sz w:val="22"/>
          <w:lang w:val="en-GB"/>
        </w:rPr>
      </w:pPr>
      <w:r>
        <w:rPr>
          <w:rFonts w:ascii="Arial" w:eastAsia="Calibri" w:hAnsi="Arial" w:cs="Arial"/>
          <w:b w:val="0"/>
          <w:color w:val="auto"/>
          <w:sz w:val="22"/>
          <w:lang w:val="en-GB"/>
        </w:rPr>
        <w:t>At the end of each key stage boys should be able to:</w:t>
      </w:r>
    </w:p>
    <w:p w14:paraId="00CBEB98" w14:textId="77777777" w:rsidR="00A368A7" w:rsidRDefault="00BE30E2">
      <w:pPr>
        <w:numPr>
          <w:ilvl w:val="0"/>
          <w:numId w:val="10"/>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Understand themselves and the influences on them (self-knowledge)</w:t>
      </w:r>
    </w:p>
    <w:p w14:paraId="54E36C14" w14:textId="77777777" w:rsidR="00A368A7" w:rsidRDefault="00BE30E2">
      <w:pPr>
        <w:numPr>
          <w:ilvl w:val="0"/>
          <w:numId w:val="10"/>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Investigate opportunities in learning and work (career exploration)</w:t>
      </w:r>
    </w:p>
    <w:p w14:paraId="60B643F1" w14:textId="77777777" w:rsidR="00A368A7" w:rsidRDefault="00BE30E2">
      <w:pPr>
        <w:numPr>
          <w:ilvl w:val="0"/>
          <w:numId w:val="10"/>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Make and adjust plans to manage change and transition (career management)</w:t>
      </w:r>
    </w:p>
    <w:p w14:paraId="248E8A6F" w14:textId="77777777" w:rsidR="00A368A7" w:rsidRDefault="00BE30E2">
      <w:pPr>
        <w:spacing w:after="200"/>
        <w:jc w:val="both"/>
        <w:rPr>
          <w:rFonts w:ascii="Arial" w:eastAsia="Calibri" w:hAnsi="Arial" w:cs="Arial"/>
          <w:b w:val="0"/>
          <w:color w:val="auto"/>
          <w:sz w:val="22"/>
          <w:lang w:val="en-GB"/>
        </w:rPr>
      </w:pPr>
      <w:r>
        <w:rPr>
          <w:rFonts w:ascii="Arial" w:eastAsia="Calibri" w:hAnsi="Arial" w:cs="Arial"/>
          <w:b w:val="0"/>
          <w:color w:val="auto"/>
          <w:sz w:val="22"/>
          <w:lang w:val="en-GB"/>
        </w:rPr>
        <w:t>In order to achieve our aims and objectives the programme of CEIAG is planned with reference to the December 2017 ‘Careers strategy: making the most of everyone’s skills and talents’ and set against the Gatsby Benchmarks – please see Appendix 1</w:t>
      </w:r>
    </w:p>
    <w:p w14:paraId="6B699379" w14:textId="77777777" w:rsidR="00A368A7" w:rsidRDefault="00A368A7">
      <w:pPr>
        <w:spacing w:after="200"/>
        <w:jc w:val="both"/>
        <w:rPr>
          <w:rFonts w:ascii="Arial" w:eastAsia="Calibri" w:hAnsi="Arial" w:cs="Arial"/>
          <w:color w:val="auto"/>
          <w:sz w:val="22"/>
          <w:lang w:val="en-GB"/>
        </w:rPr>
      </w:pPr>
    </w:p>
    <w:p w14:paraId="3FE9F23F" w14:textId="77777777" w:rsidR="00A368A7" w:rsidRDefault="00A368A7">
      <w:pPr>
        <w:spacing w:after="200"/>
        <w:jc w:val="both"/>
        <w:rPr>
          <w:rFonts w:ascii="Arial" w:eastAsia="Calibri" w:hAnsi="Arial" w:cs="Arial"/>
          <w:color w:val="auto"/>
          <w:sz w:val="22"/>
          <w:lang w:val="en-GB"/>
        </w:rPr>
      </w:pPr>
    </w:p>
    <w:p w14:paraId="1F72F646" w14:textId="77777777" w:rsidR="00A368A7" w:rsidRDefault="00A368A7">
      <w:pPr>
        <w:spacing w:after="200"/>
        <w:jc w:val="both"/>
        <w:rPr>
          <w:rFonts w:ascii="Arial" w:eastAsia="Calibri" w:hAnsi="Arial" w:cs="Arial"/>
          <w:color w:val="auto"/>
          <w:sz w:val="22"/>
          <w:lang w:val="en-GB"/>
        </w:rPr>
      </w:pPr>
    </w:p>
    <w:p w14:paraId="08CE6F91" w14:textId="77777777" w:rsidR="00A368A7" w:rsidRDefault="00A368A7">
      <w:pPr>
        <w:spacing w:after="200"/>
        <w:jc w:val="both"/>
        <w:rPr>
          <w:rFonts w:ascii="Arial" w:eastAsia="Calibri" w:hAnsi="Arial" w:cs="Arial"/>
          <w:color w:val="auto"/>
          <w:sz w:val="22"/>
          <w:lang w:val="en-GB"/>
        </w:rPr>
      </w:pPr>
    </w:p>
    <w:p w14:paraId="61CDCEAD" w14:textId="77777777" w:rsidR="00A368A7" w:rsidRDefault="00A368A7">
      <w:pPr>
        <w:spacing w:after="200"/>
        <w:jc w:val="both"/>
        <w:rPr>
          <w:rFonts w:ascii="Arial" w:eastAsia="Calibri" w:hAnsi="Arial" w:cs="Arial"/>
          <w:color w:val="auto"/>
          <w:sz w:val="22"/>
          <w:lang w:val="en-GB"/>
        </w:rPr>
      </w:pPr>
    </w:p>
    <w:p w14:paraId="68BC9B0D" w14:textId="77777777" w:rsidR="00A368A7" w:rsidRDefault="00BE30E2">
      <w:pPr>
        <w:spacing w:after="200"/>
        <w:jc w:val="both"/>
        <w:rPr>
          <w:rFonts w:ascii="Arial" w:eastAsia="Calibri" w:hAnsi="Arial" w:cs="Arial"/>
          <w:color w:val="auto"/>
          <w:sz w:val="22"/>
          <w:lang w:val="en-GB"/>
        </w:rPr>
      </w:pPr>
      <w:r>
        <w:rPr>
          <w:rFonts w:ascii="Arial" w:eastAsia="Calibri" w:hAnsi="Arial" w:cs="Arial"/>
          <w:color w:val="auto"/>
          <w:sz w:val="22"/>
          <w:lang w:val="en-GB"/>
        </w:rPr>
        <w:lastRenderedPageBreak/>
        <w:t>ROLES AND RESPONSIBILITIES</w:t>
      </w:r>
    </w:p>
    <w:p w14:paraId="18B8C78A" w14:textId="77777777" w:rsidR="00A368A7" w:rsidRDefault="00BE30E2">
      <w:pPr>
        <w:spacing w:after="200"/>
        <w:jc w:val="both"/>
        <w:rPr>
          <w:rFonts w:ascii="Arial" w:eastAsia="Calibri" w:hAnsi="Arial" w:cs="Arial"/>
          <w:color w:val="auto"/>
          <w:sz w:val="22"/>
          <w:lang w:val="en-GB"/>
        </w:rPr>
      </w:pPr>
      <w:r>
        <w:rPr>
          <w:rFonts w:ascii="Arial" w:eastAsia="Calibri" w:hAnsi="Arial" w:cs="Arial"/>
          <w:color w:val="auto"/>
          <w:sz w:val="22"/>
          <w:lang w:val="en-GB"/>
        </w:rPr>
        <w:t>CAREERS COORDINATOR (‘LEARN TO WORK’)</w:t>
      </w:r>
    </w:p>
    <w:p w14:paraId="3685C7CC" w14:textId="77777777" w:rsidR="00A368A7" w:rsidRDefault="00BE30E2">
      <w:pPr>
        <w:numPr>
          <w:ilvl w:val="0"/>
          <w:numId w:val="6"/>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Leads the production and review of the CEIAG policy</w:t>
      </w:r>
    </w:p>
    <w:p w14:paraId="580FC136" w14:textId="77777777" w:rsidR="00A368A7" w:rsidRDefault="00BE30E2">
      <w:pPr>
        <w:numPr>
          <w:ilvl w:val="0"/>
          <w:numId w:val="6"/>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Keeps the CEIAG scheme of work, lesson plans and materials under constant review</w:t>
      </w:r>
    </w:p>
    <w:p w14:paraId="7255CAAE" w14:textId="77777777" w:rsidR="00A368A7" w:rsidRDefault="00BE30E2">
      <w:pPr>
        <w:numPr>
          <w:ilvl w:val="0"/>
          <w:numId w:val="6"/>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Liaises with PSHEE/Citizenship/heads of year to plan and review the CEIAG programme</w:t>
      </w:r>
    </w:p>
    <w:p w14:paraId="6359DF21" w14:textId="77777777" w:rsidR="00A368A7" w:rsidRDefault="00BE30E2">
      <w:pPr>
        <w:numPr>
          <w:ilvl w:val="0"/>
          <w:numId w:val="6"/>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Liaises with external providers to agree and review agreements and provision</w:t>
      </w:r>
    </w:p>
    <w:p w14:paraId="3111C251" w14:textId="77777777" w:rsidR="00A368A7" w:rsidRDefault="00BE30E2">
      <w:pPr>
        <w:numPr>
          <w:ilvl w:val="0"/>
          <w:numId w:val="6"/>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Manage all work experience activities</w:t>
      </w:r>
    </w:p>
    <w:p w14:paraId="1BCADA6A" w14:textId="77777777" w:rsidR="00A368A7" w:rsidRDefault="00BE30E2">
      <w:pPr>
        <w:numPr>
          <w:ilvl w:val="0"/>
          <w:numId w:val="6"/>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Identifies the career guidance needs of boys and make appropriate referrals</w:t>
      </w:r>
    </w:p>
    <w:p w14:paraId="5C0129B5" w14:textId="77777777" w:rsidR="00A368A7" w:rsidRDefault="00BE30E2">
      <w:pPr>
        <w:numPr>
          <w:ilvl w:val="0"/>
          <w:numId w:val="6"/>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Maintains comprehensive, up to date and accessible, provision of careers and personal support information, including  local and national labour market information</w:t>
      </w:r>
    </w:p>
    <w:p w14:paraId="6956E135" w14:textId="77777777" w:rsidR="00A368A7" w:rsidRDefault="00BE30E2">
      <w:pPr>
        <w:numPr>
          <w:ilvl w:val="0"/>
          <w:numId w:val="6"/>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Monitors, evaluates and reviews policy and practice of CEIAG within the curriculum</w:t>
      </w:r>
    </w:p>
    <w:p w14:paraId="1A2BA93D" w14:textId="77777777" w:rsidR="00A368A7" w:rsidRDefault="00BE30E2">
      <w:pPr>
        <w:numPr>
          <w:ilvl w:val="0"/>
          <w:numId w:val="6"/>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Liaises with F.E &amp; H.E institutions, to ensure that pupils have access to all relevant information.</w:t>
      </w:r>
    </w:p>
    <w:p w14:paraId="6B03373F" w14:textId="77777777" w:rsidR="00A368A7" w:rsidRDefault="00BE30E2">
      <w:pPr>
        <w:numPr>
          <w:ilvl w:val="0"/>
          <w:numId w:val="6"/>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 xml:space="preserve">To deliver the above information through Educational Visits, with the primary responsibility of organisation and logistics. </w:t>
      </w:r>
    </w:p>
    <w:p w14:paraId="3DEBC0A0" w14:textId="77777777" w:rsidR="00A368A7" w:rsidRDefault="00BE30E2">
      <w:pPr>
        <w:numPr>
          <w:ilvl w:val="0"/>
          <w:numId w:val="6"/>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Works closely with ‘Learn to Work’ to provide independent impartial advice.</w:t>
      </w:r>
    </w:p>
    <w:p w14:paraId="6BB9E253" w14:textId="77777777" w:rsidR="00A368A7" w:rsidRDefault="00A368A7">
      <w:pPr>
        <w:spacing w:after="200"/>
        <w:jc w:val="both"/>
        <w:rPr>
          <w:rFonts w:ascii="Arial" w:eastAsia="Calibri" w:hAnsi="Arial" w:cs="Arial"/>
          <w:color w:val="auto"/>
          <w:sz w:val="22"/>
          <w:lang w:val="en-GB"/>
        </w:rPr>
      </w:pPr>
    </w:p>
    <w:p w14:paraId="799A8AD9" w14:textId="77777777" w:rsidR="00A368A7" w:rsidRDefault="00BE30E2">
      <w:pPr>
        <w:spacing w:after="200"/>
        <w:jc w:val="both"/>
        <w:rPr>
          <w:rFonts w:ascii="Arial" w:eastAsia="Calibri" w:hAnsi="Arial" w:cs="Arial"/>
          <w:color w:val="auto"/>
          <w:sz w:val="22"/>
          <w:lang w:val="en-GB"/>
        </w:rPr>
      </w:pPr>
      <w:r>
        <w:rPr>
          <w:rFonts w:ascii="Arial" w:eastAsia="Calibri" w:hAnsi="Arial" w:cs="Arial"/>
          <w:color w:val="auto"/>
          <w:sz w:val="22"/>
          <w:lang w:val="en-GB"/>
        </w:rPr>
        <w:t>SIXTH FORM UCAS/CAREERS COORDINATOR</w:t>
      </w:r>
    </w:p>
    <w:p w14:paraId="44516CAC" w14:textId="77777777" w:rsidR="00A368A7" w:rsidRDefault="00BE30E2">
      <w:pPr>
        <w:spacing w:after="200"/>
        <w:jc w:val="both"/>
        <w:rPr>
          <w:rFonts w:ascii="Arial" w:eastAsia="Calibri" w:hAnsi="Arial" w:cs="Arial"/>
          <w:b w:val="0"/>
          <w:color w:val="auto"/>
          <w:sz w:val="22"/>
          <w:lang w:val="en-GB"/>
        </w:rPr>
      </w:pPr>
      <w:r>
        <w:rPr>
          <w:rFonts w:ascii="Arial" w:eastAsia="Calibri" w:hAnsi="Arial" w:cs="Arial"/>
          <w:b w:val="0"/>
          <w:color w:val="auto"/>
          <w:sz w:val="22"/>
          <w:lang w:val="en-GB"/>
        </w:rPr>
        <w:t>In the Sixth Form, Careers coordinator and UCAS coordinator coordinates this programme.</w:t>
      </w:r>
    </w:p>
    <w:p w14:paraId="49482B86" w14:textId="77777777" w:rsidR="00A368A7" w:rsidRDefault="00BE30E2">
      <w:pPr>
        <w:spacing w:after="200"/>
        <w:jc w:val="both"/>
        <w:rPr>
          <w:rFonts w:ascii="Arial" w:eastAsia="Calibri" w:hAnsi="Arial" w:cs="Arial"/>
          <w:color w:val="auto"/>
          <w:sz w:val="22"/>
          <w:lang w:val="en-GB"/>
        </w:rPr>
      </w:pPr>
      <w:r>
        <w:rPr>
          <w:rFonts w:ascii="Arial" w:eastAsia="Calibri" w:hAnsi="Arial" w:cs="Arial"/>
          <w:color w:val="auto"/>
          <w:sz w:val="22"/>
          <w:lang w:val="en-GB"/>
        </w:rPr>
        <w:t>SUBJECT STAFF/TUTORS</w:t>
      </w:r>
    </w:p>
    <w:p w14:paraId="2E682868" w14:textId="77777777" w:rsidR="00A368A7" w:rsidRDefault="00BE30E2">
      <w:pPr>
        <w:spacing w:after="200"/>
        <w:jc w:val="both"/>
        <w:rPr>
          <w:rFonts w:ascii="Arial" w:eastAsia="Calibri" w:hAnsi="Arial" w:cs="Arial"/>
          <w:color w:val="auto"/>
          <w:sz w:val="22"/>
          <w:lang w:val="en-GB"/>
        </w:rPr>
      </w:pPr>
      <w:r>
        <w:rPr>
          <w:rFonts w:ascii="Arial" w:eastAsia="Calibri" w:hAnsi="Arial" w:cs="Arial"/>
          <w:b w:val="0"/>
          <w:color w:val="auto"/>
          <w:sz w:val="22"/>
          <w:lang w:val="en-GB"/>
        </w:rPr>
        <w:t>All staff contribute to the Careers Education and Guidance programme through their roles as form tutors, PSHE lead and subject teachers.</w:t>
      </w:r>
    </w:p>
    <w:p w14:paraId="05B3A156" w14:textId="77777777" w:rsidR="00A368A7" w:rsidRDefault="00BE30E2">
      <w:pPr>
        <w:spacing w:after="200"/>
        <w:jc w:val="both"/>
        <w:rPr>
          <w:rFonts w:ascii="Arial" w:eastAsia="Calibri" w:hAnsi="Arial" w:cs="Arial"/>
          <w:color w:val="auto"/>
          <w:sz w:val="22"/>
          <w:lang w:val="en-GB"/>
        </w:rPr>
      </w:pPr>
      <w:r>
        <w:rPr>
          <w:rFonts w:ascii="Arial" w:eastAsia="Calibri" w:hAnsi="Arial" w:cs="Arial"/>
          <w:color w:val="auto"/>
          <w:sz w:val="22"/>
          <w:lang w:val="en-GB"/>
        </w:rPr>
        <w:t>YEAR LEADERS</w:t>
      </w:r>
    </w:p>
    <w:p w14:paraId="0F7A450D" w14:textId="77777777" w:rsidR="00A368A7" w:rsidRDefault="00BE30E2">
      <w:pPr>
        <w:numPr>
          <w:ilvl w:val="0"/>
          <w:numId w:val="8"/>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Monitor performance, behaviour and attendance</w:t>
      </w:r>
    </w:p>
    <w:p w14:paraId="728C3E93" w14:textId="77777777" w:rsidR="00A368A7" w:rsidRDefault="00BE30E2">
      <w:pPr>
        <w:numPr>
          <w:ilvl w:val="0"/>
          <w:numId w:val="8"/>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Organise mentoring programmes, as appropriate for each Year Group</w:t>
      </w:r>
    </w:p>
    <w:p w14:paraId="6645C08F" w14:textId="77777777" w:rsidR="00A368A7" w:rsidRDefault="00BE30E2">
      <w:pPr>
        <w:numPr>
          <w:ilvl w:val="0"/>
          <w:numId w:val="8"/>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Prepare and write student references as appropriate</w:t>
      </w:r>
    </w:p>
    <w:p w14:paraId="23DE523C" w14:textId="77777777" w:rsidR="00A368A7" w:rsidRDefault="00A368A7">
      <w:pPr>
        <w:spacing w:after="200"/>
        <w:ind w:left="720"/>
        <w:contextualSpacing/>
        <w:jc w:val="both"/>
        <w:rPr>
          <w:rFonts w:ascii="Arial" w:eastAsia="Calibri" w:hAnsi="Arial" w:cs="Arial"/>
          <w:b w:val="0"/>
          <w:color w:val="auto"/>
          <w:sz w:val="22"/>
          <w:lang w:val="en-GB"/>
        </w:rPr>
      </w:pPr>
    </w:p>
    <w:p w14:paraId="1B9F3AB4" w14:textId="77777777" w:rsidR="00A368A7" w:rsidRDefault="00BE30E2">
      <w:pPr>
        <w:spacing w:after="200"/>
        <w:jc w:val="both"/>
        <w:rPr>
          <w:rFonts w:ascii="Arial" w:eastAsia="Calibri" w:hAnsi="Arial" w:cs="Arial"/>
          <w:color w:val="auto"/>
          <w:sz w:val="22"/>
          <w:lang w:val="en-GB"/>
        </w:rPr>
      </w:pPr>
      <w:r>
        <w:rPr>
          <w:rFonts w:ascii="Arial" w:eastAsia="Calibri" w:hAnsi="Arial" w:cs="Arial"/>
          <w:color w:val="auto"/>
          <w:sz w:val="22"/>
          <w:lang w:val="en-GB"/>
        </w:rPr>
        <w:t>HEADTEACHER (CAREERS LEADER)</w:t>
      </w:r>
    </w:p>
    <w:p w14:paraId="1DB86963" w14:textId="77777777" w:rsidR="00A368A7" w:rsidRDefault="00BE30E2">
      <w:pPr>
        <w:numPr>
          <w:ilvl w:val="0"/>
          <w:numId w:val="5"/>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Oversees the development and delivery of the school’s CEIAG provision</w:t>
      </w:r>
    </w:p>
    <w:p w14:paraId="477B525F" w14:textId="77777777" w:rsidR="00A368A7" w:rsidRDefault="00BE30E2">
      <w:pPr>
        <w:numPr>
          <w:ilvl w:val="0"/>
          <w:numId w:val="5"/>
        </w:numPr>
        <w:spacing w:after="200"/>
        <w:contextualSpacing/>
        <w:jc w:val="both"/>
        <w:rPr>
          <w:rFonts w:ascii="Arial" w:eastAsia="Calibri" w:hAnsi="Arial" w:cs="Arial"/>
          <w:color w:val="auto"/>
          <w:sz w:val="22"/>
          <w:lang w:val="en-GB"/>
        </w:rPr>
      </w:pPr>
      <w:r>
        <w:rPr>
          <w:rFonts w:ascii="Arial" w:eastAsia="Calibri" w:hAnsi="Arial" w:cs="Arial"/>
          <w:b w:val="0"/>
          <w:color w:val="auto"/>
          <w:sz w:val="22"/>
          <w:lang w:val="en-GB"/>
        </w:rPr>
        <w:t>Ensures that all staff involved in the development and delivery of CEIAG have access to up to date training</w:t>
      </w:r>
    </w:p>
    <w:p w14:paraId="28A89453" w14:textId="77777777" w:rsidR="00A368A7" w:rsidRDefault="00BE30E2">
      <w:pPr>
        <w:numPr>
          <w:ilvl w:val="0"/>
          <w:numId w:val="4"/>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Ensures that adequate resources are made for the provision of CEIAG</w:t>
      </w:r>
    </w:p>
    <w:p w14:paraId="27D3E518" w14:textId="77777777" w:rsidR="00A368A7" w:rsidRDefault="00BE30E2">
      <w:pPr>
        <w:numPr>
          <w:ilvl w:val="0"/>
          <w:numId w:val="4"/>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Makes sure the school complies with the National Standards for CEIAG</w:t>
      </w:r>
    </w:p>
    <w:p w14:paraId="52E56223" w14:textId="77777777" w:rsidR="00A368A7" w:rsidRDefault="00A368A7">
      <w:pPr>
        <w:spacing w:after="200"/>
        <w:jc w:val="both"/>
        <w:rPr>
          <w:rFonts w:ascii="Arial" w:eastAsia="Calibri" w:hAnsi="Arial" w:cs="Arial"/>
          <w:color w:val="auto"/>
          <w:sz w:val="22"/>
          <w:lang w:val="en-GB"/>
        </w:rPr>
      </w:pPr>
    </w:p>
    <w:p w14:paraId="44100A58" w14:textId="77777777" w:rsidR="00A368A7" w:rsidRDefault="00BE30E2">
      <w:pPr>
        <w:spacing w:after="200"/>
        <w:jc w:val="both"/>
        <w:rPr>
          <w:rFonts w:ascii="Arial" w:eastAsia="Calibri" w:hAnsi="Arial" w:cs="Arial"/>
          <w:color w:val="auto"/>
          <w:sz w:val="22"/>
          <w:lang w:val="en-GB"/>
        </w:rPr>
      </w:pPr>
      <w:r>
        <w:rPr>
          <w:rFonts w:ascii="Arial" w:eastAsia="Calibri" w:hAnsi="Arial" w:cs="Arial"/>
          <w:color w:val="auto"/>
          <w:sz w:val="22"/>
          <w:lang w:val="en-GB"/>
        </w:rPr>
        <w:t>GOVERNORS</w:t>
      </w:r>
    </w:p>
    <w:p w14:paraId="5EFDB28E" w14:textId="77777777" w:rsidR="00A368A7" w:rsidRDefault="00BE30E2">
      <w:pPr>
        <w:numPr>
          <w:ilvl w:val="0"/>
          <w:numId w:val="3"/>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Approve the CEIAG policy</w:t>
      </w:r>
    </w:p>
    <w:p w14:paraId="5820F9F0" w14:textId="77777777" w:rsidR="00A368A7" w:rsidRDefault="00BE30E2">
      <w:pPr>
        <w:numPr>
          <w:ilvl w:val="0"/>
          <w:numId w:val="3"/>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Review the policy every two years</w:t>
      </w:r>
    </w:p>
    <w:p w14:paraId="34D74D37" w14:textId="77777777" w:rsidR="00A368A7" w:rsidRDefault="00BE30E2">
      <w:pPr>
        <w:numPr>
          <w:ilvl w:val="0"/>
          <w:numId w:val="3"/>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Maintain an overview of provision and ensure the school meets its statutory requirement, Health and safety legislation, and the SEN and Disability Act, 2001.</w:t>
      </w:r>
    </w:p>
    <w:p w14:paraId="07547A01" w14:textId="77777777" w:rsidR="00A368A7" w:rsidRDefault="00A368A7">
      <w:pPr>
        <w:spacing w:after="200"/>
        <w:jc w:val="both"/>
        <w:rPr>
          <w:rFonts w:ascii="Arial" w:eastAsia="Calibri" w:hAnsi="Arial" w:cs="Arial"/>
          <w:color w:val="auto"/>
          <w:sz w:val="22"/>
          <w:lang w:val="en-GB"/>
        </w:rPr>
      </w:pPr>
    </w:p>
    <w:p w14:paraId="5043CB0F" w14:textId="77777777" w:rsidR="00A368A7" w:rsidRDefault="00A368A7">
      <w:pPr>
        <w:spacing w:after="200"/>
        <w:jc w:val="both"/>
        <w:rPr>
          <w:rFonts w:ascii="Arial" w:eastAsia="Calibri" w:hAnsi="Arial" w:cs="Arial"/>
          <w:color w:val="auto"/>
          <w:sz w:val="22"/>
          <w:lang w:val="en-GB"/>
        </w:rPr>
      </w:pPr>
    </w:p>
    <w:p w14:paraId="0B5224ED" w14:textId="77777777" w:rsidR="00A368A7" w:rsidRDefault="00BE30E2">
      <w:pPr>
        <w:spacing w:after="200"/>
        <w:jc w:val="both"/>
        <w:rPr>
          <w:rFonts w:ascii="Arial" w:eastAsia="Calibri" w:hAnsi="Arial" w:cs="Arial"/>
          <w:color w:val="auto"/>
          <w:sz w:val="22"/>
          <w:lang w:val="en-GB"/>
        </w:rPr>
      </w:pPr>
      <w:r>
        <w:rPr>
          <w:rFonts w:ascii="Arial" w:eastAsia="Calibri" w:hAnsi="Arial" w:cs="Arial"/>
          <w:color w:val="auto"/>
          <w:sz w:val="22"/>
          <w:lang w:val="en-GB"/>
        </w:rPr>
        <w:lastRenderedPageBreak/>
        <w:t>MONITORING, REVIEW AND EVALUATION</w:t>
      </w:r>
    </w:p>
    <w:p w14:paraId="4DBB57B8" w14:textId="77777777" w:rsidR="00A368A7" w:rsidRDefault="00BE30E2">
      <w:pPr>
        <w:numPr>
          <w:ilvl w:val="0"/>
          <w:numId w:val="7"/>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CEIAG provision is audited against local and national quality standards</w:t>
      </w:r>
    </w:p>
    <w:p w14:paraId="35B16AA6" w14:textId="77777777" w:rsidR="00A368A7" w:rsidRDefault="00BE30E2">
      <w:pPr>
        <w:numPr>
          <w:ilvl w:val="0"/>
          <w:numId w:val="7"/>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The CEIAG strategic plan is reviewed and amended annually</w:t>
      </w:r>
    </w:p>
    <w:p w14:paraId="1F4EF961" w14:textId="77777777" w:rsidR="00A368A7" w:rsidRDefault="00BE30E2">
      <w:pPr>
        <w:numPr>
          <w:ilvl w:val="0"/>
          <w:numId w:val="7"/>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The CEIAG policy is reviewed every two years</w:t>
      </w:r>
    </w:p>
    <w:p w14:paraId="012F9A56" w14:textId="77777777" w:rsidR="00A368A7" w:rsidRDefault="00BE30E2">
      <w:pPr>
        <w:numPr>
          <w:ilvl w:val="0"/>
          <w:numId w:val="7"/>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Progression information</w:t>
      </w:r>
    </w:p>
    <w:p w14:paraId="30C64FF2" w14:textId="77777777" w:rsidR="00A368A7" w:rsidRDefault="00BE30E2">
      <w:pPr>
        <w:numPr>
          <w:ilvl w:val="0"/>
          <w:numId w:val="7"/>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Parental feedback</w:t>
      </w:r>
    </w:p>
    <w:p w14:paraId="07459315" w14:textId="77777777" w:rsidR="00A368A7" w:rsidRDefault="00A368A7">
      <w:pPr>
        <w:spacing w:after="200"/>
        <w:jc w:val="both"/>
        <w:rPr>
          <w:rFonts w:ascii="Arial" w:eastAsia="Calibri" w:hAnsi="Arial" w:cs="Arial"/>
          <w:color w:val="auto"/>
          <w:sz w:val="22"/>
          <w:lang w:val="en-GB"/>
        </w:rPr>
      </w:pPr>
    </w:p>
    <w:p w14:paraId="641A01DE" w14:textId="77777777" w:rsidR="00A368A7" w:rsidRDefault="00BE30E2">
      <w:pPr>
        <w:spacing w:after="200"/>
        <w:jc w:val="both"/>
        <w:rPr>
          <w:rFonts w:ascii="Arial" w:eastAsia="Calibri" w:hAnsi="Arial" w:cs="Arial"/>
          <w:color w:val="auto"/>
          <w:sz w:val="22"/>
          <w:lang w:val="en-GB"/>
        </w:rPr>
      </w:pPr>
      <w:r>
        <w:rPr>
          <w:rFonts w:ascii="Arial" w:eastAsia="Calibri" w:hAnsi="Arial" w:cs="Arial"/>
          <w:color w:val="auto"/>
          <w:sz w:val="22"/>
          <w:lang w:val="en-GB"/>
        </w:rPr>
        <w:t>LINKS WITH OTHER POLICIES</w:t>
      </w:r>
    </w:p>
    <w:p w14:paraId="1748115F" w14:textId="77777777" w:rsidR="00A368A7" w:rsidRDefault="00BE30E2">
      <w:pPr>
        <w:numPr>
          <w:ilvl w:val="0"/>
          <w:numId w:val="2"/>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PSHEE policy</w:t>
      </w:r>
    </w:p>
    <w:p w14:paraId="40A52CA4" w14:textId="77777777" w:rsidR="00A368A7" w:rsidRDefault="00BE30E2">
      <w:pPr>
        <w:numPr>
          <w:ilvl w:val="0"/>
          <w:numId w:val="2"/>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Citizenship policy</w:t>
      </w:r>
    </w:p>
    <w:p w14:paraId="6F6B2866" w14:textId="77777777" w:rsidR="00A368A7" w:rsidRDefault="00BE30E2">
      <w:pPr>
        <w:numPr>
          <w:ilvl w:val="0"/>
          <w:numId w:val="2"/>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The learning support policy</w:t>
      </w:r>
    </w:p>
    <w:p w14:paraId="0F12C935" w14:textId="77777777" w:rsidR="00A368A7" w:rsidRDefault="00BE30E2">
      <w:pPr>
        <w:numPr>
          <w:ilvl w:val="0"/>
          <w:numId w:val="2"/>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CPD policy</w:t>
      </w:r>
    </w:p>
    <w:p w14:paraId="5F8BCDF9" w14:textId="77777777" w:rsidR="00A368A7" w:rsidRDefault="00BE30E2">
      <w:pPr>
        <w:numPr>
          <w:ilvl w:val="0"/>
          <w:numId w:val="2"/>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Equal opportunities policy</w:t>
      </w:r>
    </w:p>
    <w:p w14:paraId="534CC788" w14:textId="77777777" w:rsidR="00A368A7" w:rsidRDefault="00BE30E2">
      <w:pPr>
        <w:numPr>
          <w:ilvl w:val="0"/>
          <w:numId w:val="2"/>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Health and safety policy</w:t>
      </w:r>
    </w:p>
    <w:p w14:paraId="248672FF" w14:textId="77777777" w:rsidR="00A368A7" w:rsidRDefault="00BE30E2">
      <w:pPr>
        <w:numPr>
          <w:ilvl w:val="0"/>
          <w:numId w:val="2"/>
        </w:numPr>
        <w:spacing w:after="200"/>
        <w:contextualSpacing/>
        <w:jc w:val="both"/>
        <w:rPr>
          <w:rFonts w:ascii="Arial" w:eastAsia="Calibri" w:hAnsi="Arial" w:cs="Arial"/>
          <w:b w:val="0"/>
          <w:color w:val="auto"/>
          <w:sz w:val="22"/>
          <w:lang w:val="en-GB"/>
        </w:rPr>
      </w:pPr>
      <w:r>
        <w:rPr>
          <w:rFonts w:ascii="Arial" w:eastAsia="Calibri" w:hAnsi="Arial" w:cs="Arial"/>
          <w:b w:val="0"/>
          <w:color w:val="auto"/>
          <w:sz w:val="22"/>
          <w:lang w:val="en-GB"/>
        </w:rPr>
        <w:t>Educational visits policy</w:t>
      </w:r>
    </w:p>
    <w:p w14:paraId="4734821B" w14:textId="66B1B4B3" w:rsidR="006E1D5C" w:rsidRDefault="006E1D5C">
      <w:pPr>
        <w:spacing w:after="200"/>
        <w:rPr>
          <w:rFonts w:ascii="Arial" w:eastAsia="Calibri" w:hAnsi="Arial" w:cs="Arial"/>
          <w:color w:val="auto"/>
          <w:sz w:val="22"/>
          <w:lang w:val="en-GB"/>
        </w:rPr>
      </w:pPr>
    </w:p>
    <w:tbl>
      <w:tblPr>
        <w:tblStyle w:val="TableGrid1"/>
        <w:tblpPr w:leftFromText="180" w:rightFromText="180" w:vertAnchor="page" w:horzAnchor="margin" w:tblpY="1516"/>
        <w:tblW w:w="10627" w:type="dxa"/>
        <w:tblLook w:val="04A0" w:firstRow="1" w:lastRow="0" w:firstColumn="1" w:lastColumn="0" w:noHBand="0" w:noVBand="1"/>
      </w:tblPr>
      <w:tblGrid>
        <w:gridCol w:w="1769"/>
        <w:gridCol w:w="3200"/>
        <w:gridCol w:w="5658"/>
      </w:tblGrid>
      <w:tr w:rsidR="006E1D5C" w:rsidRPr="006E1D5C" w14:paraId="01A6C1EE" w14:textId="77777777" w:rsidTr="005F04B4">
        <w:trPr>
          <w:trHeight w:val="567"/>
        </w:trPr>
        <w:tc>
          <w:tcPr>
            <w:tcW w:w="10627" w:type="dxa"/>
            <w:gridSpan w:val="3"/>
          </w:tcPr>
          <w:p w14:paraId="3B88941C" w14:textId="3EBCA925" w:rsidR="006E1D5C" w:rsidRPr="006E1D5C" w:rsidRDefault="006E1D5C" w:rsidP="003969BA">
            <w:pPr>
              <w:jc w:val="center"/>
              <w:rPr>
                <w:rFonts w:ascii="Calibri" w:eastAsia="Calibri" w:hAnsi="Calibri"/>
                <w:color w:val="auto"/>
                <w:sz w:val="30"/>
              </w:rPr>
            </w:pPr>
            <w:r>
              <w:rPr>
                <w:rFonts w:ascii="Calibri" w:eastAsia="Calibri" w:hAnsi="Calibri"/>
                <w:color w:val="auto"/>
                <w:sz w:val="30"/>
              </w:rPr>
              <w:lastRenderedPageBreak/>
              <w:t>APPENDIX 1</w:t>
            </w:r>
          </w:p>
        </w:tc>
      </w:tr>
      <w:tr w:rsidR="006E1D5C" w:rsidRPr="006E1D5C" w14:paraId="5926F4F9" w14:textId="77777777" w:rsidTr="006E1D5C">
        <w:trPr>
          <w:trHeight w:val="567"/>
        </w:trPr>
        <w:tc>
          <w:tcPr>
            <w:tcW w:w="1769" w:type="dxa"/>
          </w:tcPr>
          <w:p w14:paraId="1DFB90EC" w14:textId="77777777" w:rsidR="006E1D5C" w:rsidRPr="006E1D5C" w:rsidRDefault="006E1D5C" w:rsidP="003969BA">
            <w:pPr>
              <w:rPr>
                <w:rFonts w:ascii="Calibri" w:eastAsia="Calibri" w:hAnsi="Calibri"/>
                <w:color w:val="auto"/>
                <w:sz w:val="30"/>
              </w:rPr>
            </w:pPr>
            <w:r w:rsidRPr="006E1D5C">
              <w:rPr>
                <w:rFonts w:ascii="Calibri" w:eastAsia="Calibri" w:hAnsi="Calibri"/>
                <w:color w:val="auto"/>
                <w:sz w:val="30"/>
              </w:rPr>
              <w:t>Benchmark</w:t>
            </w:r>
          </w:p>
        </w:tc>
        <w:tc>
          <w:tcPr>
            <w:tcW w:w="3200" w:type="dxa"/>
          </w:tcPr>
          <w:p w14:paraId="56F35DFD" w14:textId="77777777" w:rsidR="006E1D5C" w:rsidRPr="006E1D5C" w:rsidRDefault="006E1D5C" w:rsidP="003969BA">
            <w:pPr>
              <w:jc w:val="center"/>
              <w:rPr>
                <w:rFonts w:ascii="Calibri" w:eastAsia="Calibri" w:hAnsi="Calibri"/>
                <w:color w:val="auto"/>
                <w:sz w:val="30"/>
              </w:rPr>
            </w:pPr>
            <w:r w:rsidRPr="006E1D5C">
              <w:rPr>
                <w:rFonts w:ascii="Calibri" w:eastAsia="Calibri" w:hAnsi="Calibri"/>
                <w:color w:val="auto"/>
                <w:sz w:val="30"/>
              </w:rPr>
              <w:t>Summary</w:t>
            </w:r>
          </w:p>
        </w:tc>
        <w:tc>
          <w:tcPr>
            <w:tcW w:w="5658" w:type="dxa"/>
          </w:tcPr>
          <w:p w14:paraId="51698BD9" w14:textId="77777777" w:rsidR="006E1D5C" w:rsidRPr="006E1D5C" w:rsidRDefault="006E1D5C" w:rsidP="003969BA">
            <w:pPr>
              <w:jc w:val="center"/>
              <w:rPr>
                <w:rFonts w:ascii="Calibri" w:eastAsia="Calibri" w:hAnsi="Calibri"/>
                <w:color w:val="auto"/>
                <w:sz w:val="30"/>
              </w:rPr>
            </w:pPr>
            <w:r w:rsidRPr="006E1D5C">
              <w:rPr>
                <w:rFonts w:ascii="Calibri" w:eastAsia="Calibri" w:hAnsi="Calibri"/>
                <w:color w:val="auto"/>
                <w:sz w:val="30"/>
              </w:rPr>
              <w:t>Criteria</w:t>
            </w:r>
          </w:p>
        </w:tc>
      </w:tr>
      <w:tr w:rsidR="006E1D5C" w:rsidRPr="006E1D5C" w14:paraId="6D201983" w14:textId="77777777" w:rsidTr="006E1D5C">
        <w:tc>
          <w:tcPr>
            <w:tcW w:w="1769" w:type="dxa"/>
          </w:tcPr>
          <w:p w14:paraId="4690D8F0"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1</w:t>
            </w:r>
          </w:p>
          <w:p w14:paraId="3DDF38EB"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A STABLE</w:t>
            </w:r>
          </w:p>
          <w:p w14:paraId="37975F05"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CAREERS</w:t>
            </w:r>
          </w:p>
          <w:p w14:paraId="45251FE1"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PROGRAMME</w:t>
            </w:r>
          </w:p>
        </w:tc>
        <w:tc>
          <w:tcPr>
            <w:tcW w:w="3200" w:type="dxa"/>
          </w:tcPr>
          <w:p w14:paraId="3C44C525"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Every school and college should have an embedded programme of career education and guidance that is known and understood by pupils, parents, teachers and employers.</w:t>
            </w:r>
          </w:p>
        </w:tc>
        <w:tc>
          <w:tcPr>
            <w:tcW w:w="5658" w:type="dxa"/>
          </w:tcPr>
          <w:p w14:paraId="354BDE14" w14:textId="77777777" w:rsid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Every school should have a stable, structured careers programme that has the explicit backing of the senior management team, and has an identified and appropriately trained person responsible for it.</w:t>
            </w:r>
          </w:p>
          <w:p w14:paraId="3A93839A" w14:textId="77777777" w:rsidR="006E1D5C" w:rsidRPr="006E1D5C" w:rsidRDefault="006E1D5C" w:rsidP="003969BA">
            <w:pPr>
              <w:spacing w:beforeLines="20" w:before="48" w:afterLines="20" w:after="48"/>
              <w:rPr>
                <w:rFonts w:ascii="Arial" w:eastAsia="Calibri" w:hAnsi="Arial" w:cs="Arial"/>
                <w:b w:val="0"/>
                <w:color w:val="auto"/>
                <w:sz w:val="22"/>
              </w:rPr>
            </w:pPr>
          </w:p>
          <w:p w14:paraId="482C78B9" w14:textId="77777777" w:rsidR="006E1D5C" w:rsidRPr="006E1D5C" w:rsidRDefault="006E1D5C" w:rsidP="003969BA">
            <w:pPr>
              <w:spacing w:beforeLines="20" w:before="48" w:afterLines="20" w:after="48"/>
              <w:rPr>
                <w:rFonts w:ascii="Arial" w:eastAsia="Calibri" w:hAnsi="Arial" w:cs="Arial"/>
                <w:b w:val="0"/>
                <w:color w:val="auto"/>
                <w:sz w:val="22"/>
              </w:rPr>
            </w:pPr>
            <w:r>
              <w:rPr>
                <w:rFonts w:ascii="Arial" w:eastAsia="Calibri" w:hAnsi="Arial" w:cs="Arial"/>
                <w:b w:val="0"/>
                <w:color w:val="auto"/>
                <w:sz w:val="22"/>
              </w:rPr>
              <w:t>T</w:t>
            </w:r>
            <w:r w:rsidRPr="006E1D5C">
              <w:rPr>
                <w:rFonts w:ascii="Arial" w:eastAsia="Calibri" w:hAnsi="Arial" w:cs="Arial"/>
                <w:b w:val="0"/>
                <w:color w:val="auto"/>
                <w:sz w:val="22"/>
              </w:rPr>
              <w:t>he careers programme should be published on the school’s website in a way that enables pupils, parents, teachers and employers to access and understand it. The programme should be regularly evaluated with feedback from pupils, parents, teachers and employers as part of the evaluation process.</w:t>
            </w:r>
          </w:p>
        </w:tc>
      </w:tr>
      <w:tr w:rsidR="006E1D5C" w:rsidRPr="006E1D5C" w14:paraId="59974C67" w14:textId="77777777" w:rsidTr="006E1D5C">
        <w:tc>
          <w:tcPr>
            <w:tcW w:w="1769" w:type="dxa"/>
          </w:tcPr>
          <w:p w14:paraId="037F9B4C"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2</w:t>
            </w:r>
          </w:p>
          <w:p w14:paraId="51756AE1"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LEARNING</w:t>
            </w:r>
          </w:p>
          <w:p w14:paraId="20922364"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FROM CAREER</w:t>
            </w:r>
          </w:p>
          <w:p w14:paraId="21646B27"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AND LABOUR</w:t>
            </w:r>
          </w:p>
          <w:p w14:paraId="246F7702"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MARKET</w:t>
            </w:r>
          </w:p>
          <w:p w14:paraId="63355846"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INFORMATION</w:t>
            </w:r>
          </w:p>
        </w:tc>
        <w:tc>
          <w:tcPr>
            <w:tcW w:w="3200" w:type="dxa"/>
          </w:tcPr>
          <w:p w14:paraId="10885963"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Every pupil, and their parents, should have access to good quality information about future study options and labour market opportunities. They will need the support of an informed adviser to make the best use of available information.</w:t>
            </w:r>
          </w:p>
        </w:tc>
        <w:tc>
          <w:tcPr>
            <w:tcW w:w="5658" w:type="dxa"/>
          </w:tcPr>
          <w:p w14:paraId="59D9EA47" w14:textId="77777777" w:rsid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By the age of 14, all pupils should have accessed and used information about career paths and the labour market to inform their own decisions on study options.</w:t>
            </w:r>
          </w:p>
          <w:p w14:paraId="17FD924B" w14:textId="77777777" w:rsidR="006E1D5C" w:rsidRPr="006E1D5C" w:rsidRDefault="006E1D5C" w:rsidP="003969BA">
            <w:pPr>
              <w:spacing w:beforeLines="20" w:before="48" w:afterLines="20" w:after="48"/>
              <w:rPr>
                <w:rFonts w:ascii="Arial" w:eastAsia="Calibri" w:hAnsi="Arial" w:cs="Arial"/>
                <w:b w:val="0"/>
                <w:color w:val="auto"/>
                <w:sz w:val="22"/>
              </w:rPr>
            </w:pPr>
          </w:p>
          <w:p w14:paraId="75E1FB51"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Parents should be encouraged to access and use information about labour markets and future study options to inform their support to their children.</w:t>
            </w:r>
          </w:p>
          <w:p w14:paraId="79735BD7" w14:textId="77777777" w:rsidR="006E1D5C" w:rsidRPr="006E1D5C" w:rsidRDefault="006E1D5C" w:rsidP="003969BA">
            <w:pPr>
              <w:spacing w:beforeLines="20" w:before="48" w:afterLines="20" w:after="48"/>
              <w:rPr>
                <w:rFonts w:ascii="Arial" w:eastAsia="Calibri" w:hAnsi="Arial" w:cs="Arial"/>
                <w:b w:val="0"/>
                <w:color w:val="auto"/>
                <w:sz w:val="22"/>
              </w:rPr>
            </w:pPr>
          </w:p>
        </w:tc>
      </w:tr>
      <w:tr w:rsidR="006E1D5C" w:rsidRPr="006E1D5C" w14:paraId="192A015A" w14:textId="77777777" w:rsidTr="006E1D5C">
        <w:tc>
          <w:tcPr>
            <w:tcW w:w="1769" w:type="dxa"/>
          </w:tcPr>
          <w:p w14:paraId="1C5AEAA8"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3</w:t>
            </w:r>
          </w:p>
          <w:p w14:paraId="66E8DD56"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ADDRESSING</w:t>
            </w:r>
          </w:p>
          <w:p w14:paraId="0E800FD3"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THE NEEDS OF</w:t>
            </w:r>
          </w:p>
          <w:p w14:paraId="61EBD47D"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EACH PUPIL</w:t>
            </w:r>
          </w:p>
        </w:tc>
        <w:tc>
          <w:tcPr>
            <w:tcW w:w="3200" w:type="dxa"/>
          </w:tcPr>
          <w:p w14:paraId="2F439A26"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Pupils have different career guidance needs at different stages. Opportunities for advice and support need to be tailored to the needs of each pupil. A school’s careers programme should embed equality and diversity considerations throughout.</w:t>
            </w:r>
          </w:p>
        </w:tc>
        <w:tc>
          <w:tcPr>
            <w:tcW w:w="5658" w:type="dxa"/>
          </w:tcPr>
          <w:p w14:paraId="4F7D7C5F" w14:textId="77777777" w:rsidR="006E1D5C" w:rsidRDefault="006E1D5C" w:rsidP="003969BA">
            <w:pPr>
              <w:spacing w:beforeLines="20" w:before="48" w:afterLines="20" w:after="48" w:line="276" w:lineRule="auto"/>
              <w:rPr>
                <w:rFonts w:ascii="Arial" w:eastAsia="Calibri" w:hAnsi="Arial" w:cs="Arial"/>
                <w:b w:val="0"/>
                <w:color w:val="auto"/>
                <w:sz w:val="22"/>
              </w:rPr>
            </w:pPr>
            <w:r w:rsidRPr="006E1D5C">
              <w:rPr>
                <w:rFonts w:ascii="Arial" w:eastAsia="Calibri" w:hAnsi="Arial" w:cs="Arial"/>
                <w:b w:val="0"/>
                <w:color w:val="auto"/>
                <w:sz w:val="22"/>
              </w:rPr>
              <w:t>A school’s careers programme should actively seek to challenge stereotypical thinking and raise aspirations.</w:t>
            </w:r>
          </w:p>
          <w:p w14:paraId="1C1916D0" w14:textId="77777777" w:rsidR="006E1D5C" w:rsidRPr="006E1D5C" w:rsidRDefault="006E1D5C" w:rsidP="003969BA">
            <w:pPr>
              <w:spacing w:beforeLines="20" w:before="48" w:afterLines="20" w:after="48" w:line="276" w:lineRule="auto"/>
              <w:rPr>
                <w:rFonts w:ascii="Arial" w:eastAsia="Calibri" w:hAnsi="Arial" w:cs="Arial"/>
                <w:b w:val="0"/>
                <w:color w:val="auto"/>
                <w:sz w:val="22"/>
              </w:rPr>
            </w:pPr>
          </w:p>
          <w:p w14:paraId="098CFC49" w14:textId="77777777" w:rsid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Schools should keep systematic records of the individual advice given to each pupil, and subsequent agreed decisions. All pupils should have access to these records to support their career development.</w:t>
            </w:r>
          </w:p>
          <w:p w14:paraId="00B74461" w14:textId="77777777" w:rsidR="006E1D5C" w:rsidRPr="006E1D5C" w:rsidRDefault="006E1D5C" w:rsidP="003969BA">
            <w:pPr>
              <w:spacing w:beforeLines="20" w:before="48" w:afterLines="20" w:after="48"/>
              <w:rPr>
                <w:rFonts w:ascii="Arial" w:eastAsia="Calibri" w:hAnsi="Arial" w:cs="Arial"/>
                <w:b w:val="0"/>
                <w:color w:val="auto"/>
                <w:sz w:val="22"/>
              </w:rPr>
            </w:pPr>
          </w:p>
          <w:p w14:paraId="11C6F823"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Schools should collect and maintain accurate data for each pupil on their education, training or employment destinations for at least three years after they leave the school.</w:t>
            </w:r>
          </w:p>
        </w:tc>
      </w:tr>
      <w:tr w:rsidR="006E1D5C" w:rsidRPr="006E1D5C" w14:paraId="389010B4" w14:textId="77777777" w:rsidTr="006E1D5C">
        <w:tc>
          <w:tcPr>
            <w:tcW w:w="1769" w:type="dxa"/>
          </w:tcPr>
          <w:p w14:paraId="7B82A63B"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4</w:t>
            </w:r>
          </w:p>
          <w:p w14:paraId="5E302765"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LINKING</w:t>
            </w:r>
          </w:p>
          <w:p w14:paraId="78643CF5"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CURRICULUM</w:t>
            </w:r>
          </w:p>
          <w:p w14:paraId="38837917"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LEARNING</w:t>
            </w:r>
          </w:p>
          <w:p w14:paraId="26C94B63"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TO CAREERS</w:t>
            </w:r>
          </w:p>
        </w:tc>
        <w:tc>
          <w:tcPr>
            <w:tcW w:w="3200" w:type="dxa"/>
          </w:tcPr>
          <w:p w14:paraId="135DDB40"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All teachers should link curriculum learning with careers. For example, STEM subject teachers should highlight the relevance of STEM subjects for a wide range of</w:t>
            </w:r>
          </w:p>
          <w:p w14:paraId="12B0E844"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career pathways.</w:t>
            </w:r>
          </w:p>
        </w:tc>
        <w:tc>
          <w:tcPr>
            <w:tcW w:w="5658" w:type="dxa"/>
          </w:tcPr>
          <w:p w14:paraId="27CB2D28"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By the age of 14, every pupil should have had the opportunity to learn how the different STEM subjects help people to gain entry to, and be more effective workers within, a wide range of careers.</w:t>
            </w:r>
          </w:p>
        </w:tc>
      </w:tr>
      <w:tr w:rsidR="006E1D5C" w:rsidRPr="006E1D5C" w14:paraId="68396C1E" w14:textId="77777777" w:rsidTr="006E1D5C">
        <w:tc>
          <w:tcPr>
            <w:tcW w:w="1769" w:type="dxa"/>
          </w:tcPr>
          <w:p w14:paraId="09DD9393"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5</w:t>
            </w:r>
          </w:p>
          <w:p w14:paraId="14731B23"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ENCOUNTERS</w:t>
            </w:r>
          </w:p>
          <w:p w14:paraId="1EE4D20D"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WITH EMPLOYERS</w:t>
            </w:r>
          </w:p>
          <w:p w14:paraId="4B5B0960"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AND EMPLOYEES</w:t>
            </w:r>
          </w:p>
        </w:tc>
        <w:tc>
          <w:tcPr>
            <w:tcW w:w="3200" w:type="dxa"/>
          </w:tcPr>
          <w:p w14:paraId="7E837ABE"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Every pupil should have multiple</w:t>
            </w:r>
          </w:p>
          <w:p w14:paraId="1508C72F"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opportunities to learn from employers</w:t>
            </w:r>
          </w:p>
          <w:p w14:paraId="0CCE08CE"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 xml:space="preserve">about work, employment and the skills that are valued in the workplace. This can be through a range of enrichment </w:t>
            </w:r>
            <w:r w:rsidRPr="006E1D5C">
              <w:rPr>
                <w:rFonts w:ascii="Arial" w:eastAsia="Calibri" w:hAnsi="Arial" w:cs="Arial"/>
                <w:b w:val="0"/>
                <w:color w:val="auto"/>
                <w:sz w:val="22"/>
              </w:rPr>
              <w:lastRenderedPageBreak/>
              <w:t>opportunities including visiting speakers, mentoring and enterprise schemes.</w:t>
            </w:r>
          </w:p>
        </w:tc>
        <w:tc>
          <w:tcPr>
            <w:tcW w:w="5658" w:type="dxa"/>
          </w:tcPr>
          <w:p w14:paraId="57347930"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lastRenderedPageBreak/>
              <w:t>Every year, from the age of 11, pupils should participate in at least one meaningful encounter* with an employer.</w:t>
            </w:r>
          </w:p>
          <w:p w14:paraId="131A02AD" w14:textId="77777777" w:rsidR="006E1D5C" w:rsidRPr="006E1D5C" w:rsidRDefault="006E1D5C" w:rsidP="003969BA">
            <w:pPr>
              <w:spacing w:beforeLines="20" w:before="48" w:afterLines="20" w:after="48"/>
              <w:rPr>
                <w:rFonts w:ascii="Arial" w:eastAsia="Calibri" w:hAnsi="Arial" w:cs="Arial"/>
                <w:b w:val="0"/>
                <w:color w:val="auto"/>
                <w:sz w:val="22"/>
              </w:rPr>
            </w:pPr>
          </w:p>
          <w:p w14:paraId="67E57153"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A ‘meaningful encounter’ is one in which the student has an opportunity to learn about what work is like or what it takes to be successful in the workplace.</w:t>
            </w:r>
          </w:p>
        </w:tc>
      </w:tr>
      <w:tr w:rsidR="006E1D5C" w:rsidRPr="006E1D5C" w14:paraId="3C308B7D" w14:textId="77777777" w:rsidTr="006E1D5C">
        <w:tc>
          <w:tcPr>
            <w:tcW w:w="1769" w:type="dxa"/>
          </w:tcPr>
          <w:p w14:paraId="7DF5BB79"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6</w:t>
            </w:r>
          </w:p>
          <w:p w14:paraId="57260578"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EXPERIENCE OF</w:t>
            </w:r>
          </w:p>
          <w:p w14:paraId="68ACB7D0"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WORKPLACES</w:t>
            </w:r>
          </w:p>
        </w:tc>
        <w:tc>
          <w:tcPr>
            <w:tcW w:w="3200" w:type="dxa"/>
          </w:tcPr>
          <w:p w14:paraId="4514A3FE"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Every pupil should have first-hand</w:t>
            </w:r>
          </w:p>
          <w:p w14:paraId="43E423A9"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experiences of the workplace through</w:t>
            </w:r>
          </w:p>
          <w:p w14:paraId="2238E2D0"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work visits, work shadowing and/or work experience to help their exploration of career opportunities, and expand their networks.</w:t>
            </w:r>
          </w:p>
        </w:tc>
        <w:tc>
          <w:tcPr>
            <w:tcW w:w="5658" w:type="dxa"/>
          </w:tcPr>
          <w:p w14:paraId="7B6205EC" w14:textId="77777777" w:rsid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By the age of 16, every pupil should have had at least one experience of a workplace, additional to any part-time jobs they may have.</w:t>
            </w:r>
          </w:p>
          <w:p w14:paraId="7A8A300F" w14:textId="77777777" w:rsidR="006E1D5C" w:rsidRPr="006E1D5C" w:rsidRDefault="006E1D5C" w:rsidP="003969BA">
            <w:pPr>
              <w:spacing w:beforeLines="20" w:before="48" w:afterLines="20" w:after="48"/>
              <w:rPr>
                <w:rFonts w:ascii="Arial" w:eastAsia="Calibri" w:hAnsi="Arial" w:cs="Arial"/>
                <w:b w:val="0"/>
                <w:color w:val="auto"/>
                <w:sz w:val="22"/>
              </w:rPr>
            </w:pPr>
          </w:p>
          <w:p w14:paraId="22629D12"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By the age of 18, every pupil should have had one further such experience, additional to any part-time jobs they may have.</w:t>
            </w:r>
          </w:p>
        </w:tc>
      </w:tr>
      <w:tr w:rsidR="006E1D5C" w:rsidRPr="006E1D5C" w14:paraId="716B009E" w14:textId="77777777" w:rsidTr="006E1D5C">
        <w:tc>
          <w:tcPr>
            <w:tcW w:w="1769" w:type="dxa"/>
          </w:tcPr>
          <w:p w14:paraId="2D640CFC"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7</w:t>
            </w:r>
          </w:p>
          <w:p w14:paraId="7252D977"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ENCOUNTERS</w:t>
            </w:r>
          </w:p>
          <w:p w14:paraId="6F6D93BA"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WITH FURTHER</w:t>
            </w:r>
          </w:p>
          <w:p w14:paraId="59C93D2E"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AND HIGHER</w:t>
            </w:r>
          </w:p>
          <w:p w14:paraId="183CFC3C"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EDUCATION</w:t>
            </w:r>
          </w:p>
        </w:tc>
        <w:tc>
          <w:tcPr>
            <w:tcW w:w="3200" w:type="dxa"/>
          </w:tcPr>
          <w:p w14:paraId="76A53A33"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All pupils should understand the full range of learning opportunities that are available to them. This includes both academic and vocational routes and learning in schools, colleges, universities and in the workplace</w:t>
            </w:r>
          </w:p>
        </w:tc>
        <w:tc>
          <w:tcPr>
            <w:tcW w:w="5658" w:type="dxa"/>
          </w:tcPr>
          <w:p w14:paraId="3BB69D68" w14:textId="77777777" w:rsid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By the age of 16, every pupil should have had a meaningful encounter* with providers of the full range of learning opportunities, including sixth forms, colleges, universities and apprenticeship providers. This should include the opportunity to meet both staff and pupils.</w:t>
            </w:r>
          </w:p>
          <w:p w14:paraId="67C16164" w14:textId="77777777" w:rsidR="006E1D5C" w:rsidRPr="006E1D5C" w:rsidRDefault="006E1D5C" w:rsidP="003969BA">
            <w:pPr>
              <w:spacing w:beforeLines="20" w:before="48" w:afterLines="20" w:after="48"/>
              <w:rPr>
                <w:rFonts w:ascii="Arial" w:eastAsia="Calibri" w:hAnsi="Arial" w:cs="Arial"/>
                <w:b w:val="0"/>
                <w:color w:val="auto"/>
                <w:sz w:val="22"/>
              </w:rPr>
            </w:pPr>
          </w:p>
          <w:p w14:paraId="00C22587" w14:textId="77777777" w:rsidR="006E1D5C" w:rsidRPr="006E1D5C" w:rsidRDefault="006E1D5C" w:rsidP="003969BA">
            <w:pPr>
              <w:spacing w:beforeLines="20" w:before="48" w:afterLines="20" w:after="48"/>
              <w:rPr>
                <w:rFonts w:ascii="Arial" w:eastAsia="Calibri" w:hAnsi="Arial" w:cs="Arial"/>
                <w:b w:val="0"/>
                <w:color w:val="auto"/>
                <w:sz w:val="22"/>
              </w:rPr>
            </w:pPr>
            <w:r w:rsidRPr="006E1D5C">
              <w:rPr>
                <w:rFonts w:ascii="Arial" w:eastAsia="Calibri" w:hAnsi="Arial" w:cs="Arial"/>
                <w:b w:val="0"/>
                <w:color w:val="auto"/>
                <w:sz w:val="22"/>
              </w:rPr>
              <w:t>By the age of 18, all pupils who are considering applying for university should have had at least two visits to universities to meet staff and pupils.</w:t>
            </w:r>
          </w:p>
          <w:p w14:paraId="33266A9C" w14:textId="77777777" w:rsidR="006E1D5C" w:rsidRPr="006E1D5C" w:rsidRDefault="006E1D5C" w:rsidP="003969BA">
            <w:pPr>
              <w:spacing w:beforeLines="20" w:before="48" w:afterLines="20" w:after="48"/>
              <w:rPr>
                <w:rFonts w:ascii="Arial" w:eastAsia="Calibri" w:hAnsi="Arial" w:cs="Arial"/>
                <w:b w:val="0"/>
                <w:color w:val="auto"/>
                <w:sz w:val="22"/>
              </w:rPr>
            </w:pPr>
          </w:p>
          <w:p w14:paraId="63D4AFD9" w14:textId="77777777" w:rsidR="006E1D5C" w:rsidRPr="006E1D5C" w:rsidRDefault="006E1D5C" w:rsidP="003969BA">
            <w:pPr>
              <w:spacing w:beforeLines="20" w:before="48" w:afterLines="20" w:after="48"/>
              <w:rPr>
                <w:rFonts w:ascii="Arial" w:eastAsia="Calibri" w:hAnsi="Arial" w:cs="Arial"/>
                <w:b w:val="0"/>
                <w:color w:val="auto"/>
                <w:sz w:val="22"/>
              </w:rPr>
            </w:pPr>
            <w:r>
              <w:rPr>
                <w:rFonts w:ascii="Arial" w:eastAsia="Calibri" w:hAnsi="Arial" w:cs="Arial"/>
                <w:b w:val="0"/>
                <w:color w:val="auto"/>
                <w:sz w:val="22"/>
              </w:rPr>
              <w:t>*</w:t>
            </w:r>
            <w:r w:rsidRPr="006E1D5C">
              <w:rPr>
                <w:rFonts w:ascii="Arial" w:eastAsia="Calibri" w:hAnsi="Arial" w:cs="Arial"/>
                <w:b w:val="0"/>
                <w:color w:val="auto"/>
                <w:sz w:val="22"/>
              </w:rPr>
              <w:t>A ‘meaningful encounter’ is one in which the student has an opportunity to explore what it is like to learn in that environment.</w:t>
            </w:r>
          </w:p>
        </w:tc>
      </w:tr>
      <w:tr w:rsidR="006E1D5C" w:rsidRPr="006E1D5C" w14:paraId="2D681618" w14:textId="77777777" w:rsidTr="006E1D5C">
        <w:tc>
          <w:tcPr>
            <w:tcW w:w="1769" w:type="dxa"/>
          </w:tcPr>
          <w:p w14:paraId="31039B65" w14:textId="77777777" w:rsidR="006E1D5C" w:rsidRPr="006E1D5C" w:rsidRDefault="006E1D5C" w:rsidP="003969BA">
            <w:pPr>
              <w:rPr>
                <w:rFonts w:ascii="Arial" w:eastAsia="Calibri" w:hAnsi="Arial" w:cs="Arial"/>
                <w:b w:val="0"/>
                <w:color w:val="auto"/>
                <w:sz w:val="22"/>
              </w:rPr>
            </w:pPr>
            <w:r w:rsidRPr="006E1D5C">
              <w:rPr>
                <w:rFonts w:ascii="Arial" w:eastAsia="Calibri" w:hAnsi="Arial" w:cs="Arial"/>
                <w:b w:val="0"/>
                <w:color w:val="auto"/>
                <w:sz w:val="22"/>
              </w:rPr>
              <w:t>8</w:t>
            </w:r>
          </w:p>
          <w:p w14:paraId="726D3E0A" w14:textId="77777777" w:rsidR="006E1D5C" w:rsidRPr="006E1D5C" w:rsidRDefault="006E1D5C" w:rsidP="003969BA">
            <w:pPr>
              <w:rPr>
                <w:rFonts w:ascii="Arial" w:eastAsia="Calibri" w:hAnsi="Arial" w:cs="Arial"/>
                <w:b w:val="0"/>
                <w:color w:val="auto"/>
                <w:sz w:val="22"/>
              </w:rPr>
            </w:pPr>
            <w:r w:rsidRPr="006E1D5C">
              <w:rPr>
                <w:rFonts w:ascii="Arial" w:eastAsia="Calibri" w:hAnsi="Arial" w:cs="Arial"/>
                <w:b w:val="0"/>
                <w:color w:val="auto"/>
                <w:sz w:val="22"/>
              </w:rPr>
              <w:t>PERSONAL</w:t>
            </w:r>
          </w:p>
          <w:p w14:paraId="63F2095B" w14:textId="77777777" w:rsidR="006E1D5C" w:rsidRPr="006E1D5C" w:rsidRDefault="006E1D5C" w:rsidP="003969BA">
            <w:pPr>
              <w:rPr>
                <w:rFonts w:ascii="Arial" w:eastAsia="Calibri" w:hAnsi="Arial" w:cs="Arial"/>
                <w:b w:val="0"/>
                <w:color w:val="auto"/>
                <w:sz w:val="22"/>
              </w:rPr>
            </w:pPr>
            <w:r w:rsidRPr="006E1D5C">
              <w:rPr>
                <w:rFonts w:ascii="Arial" w:eastAsia="Calibri" w:hAnsi="Arial" w:cs="Arial"/>
                <w:b w:val="0"/>
                <w:color w:val="auto"/>
                <w:sz w:val="22"/>
              </w:rPr>
              <w:t>GUIDANCE</w:t>
            </w:r>
          </w:p>
        </w:tc>
        <w:tc>
          <w:tcPr>
            <w:tcW w:w="3200" w:type="dxa"/>
          </w:tcPr>
          <w:p w14:paraId="575DCE7C" w14:textId="77777777" w:rsidR="006E1D5C" w:rsidRPr="006E1D5C" w:rsidRDefault="006E1D5C" w:rsidP="003969BA">
            <w:pPr>
              <w:rPr>
                <w:rFonts w:ascii="Arial" w:eastAsia="Calibri" w:hAnsi="Arial" w:cs="Arial"/>
                <w:b w:val="0"/>
                <w:color w:val="auto"/>
                <w:sz w:val="22"/>
              </w:rPr>
            </w:pPr>
            <w:r w:rsidRPr="006E1D5C">
              <w:rPr>
                <w:rFonts w:ascii="Arial" w:eastAsia="Calibri" w:hAnsi="Arial" w:cs="Arial"/>
                <w:b w:val="0"/>
                <w:color w:val="auto"/>
                <w:sz w:val="22"/>
              </w:rPr>
              <w:t>Every pupil should have opportunities for guidance interviews with a Careers Adviser, who could be internal (a member of school staff) or external, provided they are trained to an appropriate level. These should be available whenever significant study or career choices are being made. They should be expected for all pupils but should be timed to meet their individual needs.</w:t>
            </w:r>
          </w:p>
        </w:tc>
        <w:tc>
          <w:tcPr>
            <w:tcW w:w="5658" w:type="dxa"/>
          </w:tcPr>
          <w:p w14:paraId="44C75080" w14:textId="77777777" w:rsidR="006E1D5C" w:rsidRPr="006E1D5C" w:rsidRDefault="006E1D5C" w:rsidP="003969BA">
            <w:pPr>
              <w:rPr>
                <w:rFonts w:ascii="Arial" w:eastAsia="Calibri" w:hAnsi="Arial" w:cs="Arial"/>
                <w:b w:val="0"/>
                <w:color w:val="auto"/>
                <w:sz w:val="22"/>
              </w:rPr>
            </w:pPr>
            <w:r w:rsidRPr="006E1D5C">
              <w:rPr>
                <w:rFonts w:ascii="Arial" w:eastAsia="Calibri" w:hAnsi="Arial" w:cs="Arial"/>
                <w:b w:val="0"/>
                <w:color w:val="auto"/>
                <w:sz w:val="22"/>
              </w:rPr>
              <w:t>Every pupil should have at least one such interview by the age of 16, and the opportunity for a further interview by the age of 18.</w:t>
            </w:r>
          </w:p>
        </w:tc>
      </w:tr>
    </w:tbl>
    <w:p w14:paraId="57E597C0" w14:textId="77777777" w:rsidR="006E1D5C" w:rsidRDefault="006E1D5C">
      <w:pPr>
        <w:spacing w:after="200"/>
        <w:rPr>
          <w:rFonts w:ascii="Arial" w:eastAsia="Calibri" w:hAnsi="Arial" w:cs="Arial"/>
          <w:color w:val="auto"/>
          <w:sz w:val="22"/>
          <w:lang w:val="en-GB"/>
        </w:rPr>
      </w:pPr>
    </w:p>
    <w:p w14:paraId="2BA226A1" w14:textId="77777777" w:rsidR="00A368A7" w:rsidRDefault="00A368A7">
      <w:pPr>
        <w:spacing w:after="200"/>
        <w:jc w:val="center"/>
        <w:rPr>
          <w:rFonts w:ascii="Arial" w:eastAsia="Calibri" w:hAnsi="Arial" w:cs="Arial"/>
          <w:color w:val="auto"/>
          <w:sz w:val="22"/>
          <w:lang w:val="en-GB"/>
        </w:rPr>
      </w:pPr>
    </w:p>
    <w:p w14:paraId="02F2C34E" w14:textId="77777777" w:rsidR="00A368A7" w:rsidRDefault="00A368A7">
      <w:pPr>
        <w:spacing w:after="200"/>
        <w:jc w:val="center"/>
        <w:rPr>
          <w:b w:val="0"/>
          <w:sz w:val="24"/>
          <w:szCs w:val="24"/>
        </w:rPr>
      </w:pPr>
    </w:p>
    <w:sectPr w:rsidR="00A368A7">
      <w:headerReference w:type="default" r:id="rId12"/>
      <w:footerReference w:type="default" r:id="rId13"/>
      <w:pgSz w:w="11906" w:h="16838" w:code="9"/>
      <w:pgMar w:top="851" w:right="851" w:bottom="851" w:left="851" w:header="0" w:footer="289"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57E2" w14:textId="77777777" w:rsidR="00F0035D" w:rsidRDefault="00F0035D">
      <w:r>
        <w:separator/>
      </w:r>
    </w:p>
    <w:p w14:paraId="1C4D47DB" w14:textId="77777777" w:rsidR="00F0035D" w:rsidRDefault="00F0035D"/>
  </w:endnote>
  <w:endnote w:type="continuationSeparator" w:id="0">
    <w:p w14:paraId="7AE06146" w14:textId="77777777" w:rsidR="00F0035D" w:rsidRDefault="00F0035D">
      <w:r>
        <w:continuationSeparator/>
      </w:r>
    </w:p>
    <w:p w14:paraId="0D00C44D" w14:textId="77777777" w:rsidR="00F0035D" w:rsidRDefault="00F00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6B74" w14:textId="77777777" w:rsidR="00A368A7" w:rsidRDefault="00BE30E2">
    <w:pPr>
      <w:pStyle w:val="Content"/>
      <w:jc w:val="right"/>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NUMPAGES  \* Arabic  \* MERGEFORMAT">
      <w:r>
        <w:rPr>
          <w:noProof/>
        </w:rPr>
        <w:t>1</w:t>
      </w:r>
    </w:fldSimple>
  </w:p>
  <w:p w14:paraId="4551E29F" w14:textId="77777777" w:rsidR="00A368A7" w:rsidRDefault="00BE30E2">
    <w:pPr>
      <w:pStyle w:val="Content"/>
      <w:rPr>
        <w:i/>
        <w:iCs/>
      </w:rPr>
    </w:pPr>
    <w:r>
      <w:rPr>
        <w:i/>
        <w:iCs/>
      </w:rPr>
      <w:fldChar w:fldCharType="begin"/>
    </w:r>
    <w:r>
      <w:rPr>
        <w:i/>
        <w:iCs/>
      </w:rPr>
      <w:instrText xml:space="preserve"> FILENAME \* MERGEFORMAT </w:instrText>
    </w:r>
    <w:r>
      <w:rPr>
        <w:i/>
        <w:iCs/>
      </w:rPr>
      <w:fldChar w:fldCharType="separate"/>
    </w:r>
    <w:r>
      <w:rPr>
        <w:i/>
        <w:iCs/>
        <w:noProof/>
      </w:rPr>
      <w:t>Careers Policy</w:t>
    </w:r>
    <w:r>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34607" w14:textId="77777777" w:rsidR="00F0035D" w:rsidRDefault="00F0035D">
      <w:r>
        <w:separator/>
      </w:r>
    </w:p>
    <w:p w14:paraId="468245D9" w14:textId="77777777" w:rsidR="00F0035D" w:rsidRDefault="00F0035D"/>
  </w:footnote>
  <w:footnote w:type="continuationSeparator" w:id="0">
    <w:p w14:paraId="3836E908" w14:textId="77777777" w:rsidR="00F0035D" w:rsidRDefault="00F0035D">
      <w:r>
        <w:continuationSeparator/>
      </w:r>
    </w:p>
    <w:p w14:paraId="2D96AA2E" w14:textId="77777777" w:rsidR="00F0035D" w:rsidRDefault="00F003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0" w:type="dxa"/>
      <w:tblBorders>
        <w:top w:val="single" w:sz="36" w:space="0" w:color="3D3D3D" w:themeColor="text2"/>
        <w:left w:val="single" w:sz="36" w:space="0" w:color="3D3D3D" w:themeColor="text2"/>
        <w:bottom w:val="single" w:sz="36" w:space="0" w:color="3D3D3D" w:themeColor="text2"/>
        <w:right w:val="single" w:sz="36" w:space="0" w:color="3D3D3D" w:themeColor="text2"/>
        <w:insideH w:val="single" w:sz="36" w:space="0" w:color="3D3D3D" w:themeColor="text2"/>
        <w:insideV w:val="single" w:sz="36" w:space="0" w:color="3D3D3D" w:themeColor="text2"/>
      </w:tblBorders>
      <w:tblLook w:val="0000" w:firstRow="0" w:lastRow="0" w:firstColumn="0" w:lastColumn="0" w:noHBand="0" w:noVBand="0"/>
    </w:tblPr>
    <w:tblGrid>
      <w:gridCol w:w="9990"/>
    </w:tblGrid>
    <w:tr w:rsidR="00A368A7" w14:paraId="680A4E5D" w14:textId="77777777">
      <w:trPr>
        <w:trHeight w:val="709"/>
      </w:trPr>
      <w:tc>
        <w:tcPr>
          <w:tcW w:w="9990" w:type="dxa"/>
          <w:tcBorders>
            <w:top w:val="nil"/>
            <w:left w:val="nil"/>
            <w:bottom w:val="single" w:sz="36" w:space="0" w:color="006BB8" w:themeColor="accent3"/>
            <w:right w:val="nil"/>
          </w:tcBorders>
        </w:tcPr>
        <w:p w14:paraId="19219836" w14:textId="77777777" w:rsidR="00A368A7" w:rsidRDefault="00A368A7">
          <w:pPr>
            <w:pStyle w:val="Header"/>
          </w:pPr>
        </w:p>
      </w:tc>
    </w:tr>
  </w:tbl>
  <w:p w14:paraId="296FEF7D" w14:textId="77777777" w:rsidR="00A368A7" w:rsidRDefault="00A36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14" style="width:12.75pt;height:12.75pt" coordsize="" o:spt="100" o:bullet="t" adj="0,,0" path="" stroked="f">
        <v:stroke joinstyle="miter"/>
        <v:imagedata r:id="rId1" o:title="image5"/>
        <v:formulas/>
        <v:path o:connecttype="segments"/>
      </v:shape>
    </w:pict>
  </w:numPicBullet>
  <w:numPicBullet w:numPicBulletId="1">
    <w:pict>
      <v:shape id="_x0000_i1115" style="width:14.25pt;height:12.75pt" coordsize="" o:spt="100" o:bullet="t" adj="0,,0" path="" stroked="f">
        <v:stroke joinstyle="miter"/>
        <v:imagedata r:id="rId2" o:title="image6"/>
        <v:formulas/>
        <v:path o:connecttype="segments"/>
      </v:shape>
    </w:pict>
  </w:numPicBullet>
  <w:abstractNum w:abstractNumId="0" w15:restartNumberingAfterBreak="0">
    <w:nsid w:val="001C691A"/>
    <w:multiLevelType w:val="hybridMultilevel"/>
    <w:tmpl w:val="8B8C0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C5B17"/>
    <w:multiLevelType w:val="hybridMultilevel"/>
    <w:tmpl w:val="18D0439E"/>
    <w:lvl w:ilvl="0" w:tplc="08090001">
      <w:start w:val="1"/>
      <w:numFmt w:val="bullet"/>
      <w:lvlText w:val=""/>
      <w:lvlJc w:val="left"/>
      <w:pPr>
        <w:ind w:left="720" w:hanging="360"/>
      </w:pPr>
      <w:rPr>
        <w:rFonts w:ascii="Symbol" w:hAnsi="Symbol" w:hint="default"/>
      </w:rPr>
    </w:lvl>
    <w:lvl w:ilvl="1" w:tplc="676277B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F296C"/>
    <w:multiLevelType w:val="hybridMultilevel"/>
    <w:tmpl w:val="88F8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722BF"/>
    <w:multiLevelType w:val="hybridMultilevel"/>
    <w:tmpl w:val="5BDA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420F3E"/>
    <w:multiLevelType w:val="hybridMultilevel"/>
    <w:tmpl w:val="D3DEA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6232DD"/>
    <w:multiLevelType w:val="hybridMultilevel"/>
    <w:tmpl w:val="2422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C3FE2"/>
    <w:multiLevelType w:val="hybridMultilevel"/>
    <w:tmpl w:val="308A82AE"/>
    <w:lvl w:ilvl="0" w:tplc="F72AB4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65ABE"/>
    <w:multiLevelType w:val="hybridMultilevel"/>
    <w:tmpl w:val="D8BC2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6E261A"/>
    <w:multiLevelType w:val="hybridMultilevel"/>
    <w:tmpl w:val="E45C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AB3537"/>
    <w:multiLevelType w:val="hybridMultilevel"/>
    <w:tmpl w:val="6E144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1A5B35"/>
    <w:multiLevelType w:val="hybridMultilevel"/>
    <w:tmpl w:val="9A6C9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56183E"/>
    <w:multiLevelType w:val="hybridMultilevel"/>
    <w:tmpl w:val="8830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0503868">
    <w:abstractNumId w:val="8"/>
  </w:num>
  <w:num w:numId="2" w16cid:durableId="1791782756">
    <w:abstractNumId w:val="2"/>
  </w:num>
  <w:num w:numId="3" w16cid:durableId="1874998746">
    <w:abstractNumId w:val="4"/>
  </w:num>
  <w:num w:numId="4" w16cid:durableId="903948836">
    <w:abstractNumId w:val="0"/>
  </w:num>
  <w:num w:numId="5" w16cid:durableId="1560165103">
    <w:abstractNumId w:val="5"/>
  </w:num>
  <w:num w:numId="6" w16cid:durableId="1224441339">
    <w:abstractNumId w:val="11"/>
  </w:num>
  <w:num w:numId="7" w16cid:durableId="244463706">
    <w:abstractNumId w:val="9"/>
  </w:num>
  <w:num w:numId="8" w16cid:durableId="1584412323">
    <w:abstractNumId w:val="7"/>
  </w:num>
  <w:num w:numId="9" w16cid:durableId="1175652682">
    <w:abstractNumId w:val="3"/>
  </w:num>
  <w:num w:numId="10" w16cid:durableId="78337598">
    <w:abstractNumId w:val="10"/>
  </w:num>
  <w:num w:numId="11" w16cid:durableId="1493258485">
    <w:abstractNumId w:val="1"/>
  </w:num>
  <w:num w:numId="12" w16cid:durableId="20220071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ABE5BE"/>
    <w:rsid w:val="00576044"/>
    <w:rsid w:val="006344EA"/>
    <w:rsid w:val="006E1D5C"/>
    <w:rsid w:val="00A368A7"/>
    <w:rsid w:val="00BE30E2"/>
    <w:rsid w:val="00F0035D"/>
    <w:rsid w:val="16ABE5BE"/>
    <w:rsid w:val="782CA961"/>
  </w:rsids>
  <m:mathPr>
    <m:mathFont m:val="Cambria Math"/>
    <m:brkBin m:val="before"/>
    <m:brkBinSub m:val="--"/>
    <m:smallFrac m:val="0"/>
    <m:dispDef/>
    <m:lMargin m:val="1440"/>
    <m:rMargin m:val="144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9AF6F"/>
  <w15:docId w15:val="{244D2BDC-1960-426C-A035-E017F104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rPr>
      <w:rFonts w:asciiTheme="majorHAnsi" w:eastAsiaTheme="minorEastAsia" w:hAnsiTheme="majorHAnsi"/>
      <w:b/>
      <w:color w:val="3D3D3D" w:themeColor="text2"/>
      <w:sz w:val="28"/>
      <w:szCs w:val="22"/>
    </w:rPr>
  </w:style>
  <w:style w:type="paragraph" w:styleId="Heading1">
    <w:name w:val="heading 1"/>
    <w:basedOn w:val="Normal"/>
    <w:link w:val="Heading1Char"/>
    <w:uiPriority w:val="4"/>
    <w:qFormat/>
    <w:pPr>
      <w:keepNext/>
      <w:spacing w:before="240" w:after="60"/>
      <w:outlineLvl w:val="0"/>
    </w:pPr>
    <w:rPr>
      <w:rFonts w:eastAsiaTheme="majorEastAsia" w:cstheme="majorBidi"/>
      <w:color w:val="auto"/>
      <w:kern w:val="28"/>
      <w:sz w:val="52"/>
      <w:szCs w:val="32"/>
    </w:rPr>
  </w:style>
  <w:style w:type="paragraph" w:styleId="Heading2">
    <w:name w:val="heading 2"/>
    <w:basedOn w:val="Normal"/>
    <w:next w:val="Normal"/>
    <w:link w:val="Heading2Char"/>
    <w:uiPriority w:val="4"/>
    <w:qFormat/>
    <w:pPr>
      <w:keepNext/>
      <w:spacing w:after="240" w:line="240" w:lineRule="auto"/>
      <w:outlineLvl w:val="1"/>
    </w:pPr>
    <w:rPr>
      <w:rFonts w:eastAsiaTheme="majorEastAsia" w:cstheme="majorBidi"/>
      <w:color w:val="006BB8" w:themeColor="accent3"/>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pPr>
      <w:spacing w:after="200" w:line="240" w:lineRule="auto"/>
    </w:pPr>
    <w:rPr>
      <w:rFonts w:eastAsiaTheme="majorEastAsia" w:cstheme="majorBidi"/>
      <w:bCs/>
      <w:caps/>
      <w:color w:val="auto"/>
      <w:sz w:val="72"/>
      <w:szCs w:val="52"/>
    </w:rPr>
  </w:style>
  <w:style w:type="character" w:customStyle="1" w:styleId="TitleChar">
    <w:name w:val="Title Char"/>
    <w:basedOn w:val="DefaultParagraphFont"/>
    <w:link w:val="Title"/>
    <w:uiPriority w:val="1"/>
    <w:rPr>
      <w:rFonts w:asciiTheme="majorHAnsi" w:eastAsiaTheme="majorEastAsia" w:hAnsiTheme="majorHAnsi" w:cstheme="majorBidi"/>
      <w:b/>
      <w:bCs/>
      <w:caps/>
      <w:sz w:val="72"/>
      <w:szCs w:val="52"/>
    </w:rPr>
  </w:style>
  <w:style w:type="paragraph" w:styleId="Subtitle">
    <w:name w:val="Subtitle"/>
    <w:basedOn w:val="Normal"/>
    <w:link w:val="SubtitleChar"/>
    <w:uiPriority w:val="2"/>
    <w:qFormat/>
    <w:pPr>
      <w:framePr w:hSpace="180" w:wrap="around" w:vAnchor="text" w:hAnchor="margin" w:y="1167"/>
    </w:pPr>
    <w:rPr>
      <w:b w:val="0"/>
      <w:caps/>
      <w:color w:val="auto"/>
      <w:spacing w:val="20"/>
      <w:sz w:val="32"/>
    </w:rPr>
  </w:style>
  <w:style w:type="character" w:customStyle="1" w:styleId="SubtitleChar">
    <w:name w:val="Subtitle Char"/>
    <w:basedOn w:val="DefaultParagraphFont"/>
    <w:link w:val="Subtitle"/>
    <w:uiPriority w:val="2"/>
    <w:rPr>
      <w:rFonts w:asciiTheme="majorHAnsi" w:eastAsiaTheme="minorEastAsia" w:hAnsiTheme="majorHAnsi"/>
      <w:caps/>
      <w:spacing w:val="20"/>
      <w:sz w:val="32"/>
      <w:szCs w:val="22"/>
    </w:rPr>
  </w:style>
  <w:style w:type="character" w:customStyle="1" w:styleId="Heading1Char">
    <w:name w:val="Heading 1 Char"/>
    <w:basedOn w:val="DefaultParagraphFont"/>
    <w:link w:val="Heading1"/>
    <w:uiPriority w:val="4"/>
    <w:rPr>
      <w:rFonts w:asciiTheme="majorHAnsi" w:eastAsiaTheme="majorEastAsia" w:hAnsiTheme="majorHAnsi" w:cstheme="majorBidi"/>
      <w:b/>
      <w:kern w:val="28"/>
      <w:sz w:val="52"/>
      <w:szCs w:val="32"/>
    </w:rPr>
  </w:style>
  <w:style w:type="paragraph" w:styleId="Header">
    <w:name w:val="header"/>
    <w:basedOn w:val="Normal"/>
    <w:link w:val="HeaderChar"/>
    <w:uiPriority w:val="8"/>
    <w:unhideWhenUsed/>
  </w:style>
  <w:style w:type="character" w:customStyle="1" w:styleId="HeaderChar">
    <w:name w:val="Header Char"/>
    <w:basedOn w:val="DefaultParagraphFont"/>
    <w:link w:val="Header"/>
    <w:uiPriority w:val="8"/>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rPr>
      <w:sz w:val="24"/>
      <w:szCs w:val="24"/>
    </w:rPr>
  </w:style>
  <w:style w:type="paragraph" w:customStyle="1" w:styleId="Name">
    <w:name w:val="Name"/>
    <w:basedOn w:val="Normal"/>
    <w:uiPriority w:val="3"/>
    <w:qFormat/>
    <w:pPr>
      <w:spacing w:line="240" w:lineRule="auto"/>
      <w:jc w:val="right"/>
    </w:pPr>
  </w:style>
  <w:style w:type="character" w:customStyle="1" w:styleId="Heading2Char">
    <w:name w:val="Heading 2 Char"/>
    <w:basedOn w:val="DefaultParagraphFont"/>
    <w:link w:val="Heading2"/>
    <w:uiPriority w:val="4"/>
    <w:rPr>
      <w:rFonts w:asciiTheme="majorHAnsi" w:eastAsiaTheme="majorEastAsia" w:hAnsiTheme="majorHAnsi" w:cstheme="majorBidi"/>
      <w:b/>
      <w:color w:val="006BB8" w:themeColor="accent3"/>
      <w:sz w:val="36"/>
      <w:szCs w:val="26"/>
    </w:rPr>
  </w:style>
  <w:style w:type="table" w:styleId="TableGrid">
    <w:name w:val="Table Grid"/>
    <w:basedOn w:val="TableNormal"/>
    <w:uiPriority w:val="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Pr>
      <w:color w:val="808080"/>
    </w:rPr>
  </w:style>
  <w:style w:type="paragraph" w:customStyle="1" w:styleId="Content">
    <w:name w:val="Content"/>
    <w:basedOn w:val="Normal"/>
    <w:link w:val="ContentChar"/>
    <w:qFormat/>
    <w:rPr>
      <w:b w:val="0"/>
      <w:color w:val="auto"/>
      <w:sz w:val="22"/>
    </w:rPr>
  </w:style>
  <w:style w:type="paragraph" w:customStyle="1" w:styleId="EmphasisText">
    <w:name w:val="Emphasis Text"/>
    <w:basedOn w:val="Normal"/>
    <w:link w:val="EmphasisTextChar"/>
    <w:qFormat/>
    <w:rPr>
      <w:color w:val="auto"/>
    </w:rPr>
  </w:style>
  <w:style w:type="character" w:customStyle="1" w:styleId="ContentChar">
    <w:name w:val="Content Char"/>
    <w:basedOn w:val="DefaultParagraphFont"/>
    <w:link w:val="Content"/>
    <w:rPr>
      <w:rFonts w:asciiTheme="majorHAnsi" w:eastAsiaTheme="minorEastAsia" w:hAnsiTheme="majorHAnsi"/>
      <w:sz w:val="22"/>
      <w:szCs w:val="22"/>
    </w:rPr>
  </w:style>
  <w:style w:type="character" w:customStyle="1" w:styleId="EmphasisTextChar">
    <w:name w:val="Emphasis Text Char"/>
    <w:basedOn w:val="DefaultParagraphFont"/>
    <w:link w:val="EmphasisText"/>
    <w:rPr>
      <w:rFonts w:asciiTheme="majorHAnsi" w:eastAsiaTheme="minorEastAsia" w:hAnsiTheme="majorHAnsi"/>
      <w:b/>
      <w:sz w:val="28"/>
      <w:szCs w:val="22"/>
    </w:rPr>
  </w:style>
  <w:style w:type="table" w:customStyle="1" w:styleId="TableGrid1">
    <w:name w:val="Table Grid1"/>
    <w:basedOn w:val="TableNormal"/>
    <w:next w:val="TableGrid"/>
    <w:uiPriority w:val="39"/>
    <w:pPr>
      <w:spacing w:after="0" w:line="240" w:lineRule="auto"/>
    </w:pPr>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6E1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Downloads\Policy%20Template%20Jan%202022.dotx" TargetMode="External"/></Relationships>
</file>

<file path=word/theme/theme1.xml><?xml version="1.0" encoding="utf-8"?>
<a:theme xmlns:a="http://schemas.openxmlformats.org/drawingml/2006/main" name="Custom Theme">
  <a:themeElements>
    <a:clrScheme name="KE ASTON COLOURS">
      <a:dk1>
        <a:sysClr val="windowText" lastClr="000000"/>
      </a:dk1>
      <a:lt1>
        <a:sysClr val="window" lastClr="FFFFFF"/>
      </a:lt1>
      <a:dk2>
        <a:srgbClr val="3D3D3D"/>
      </a:dk2>
      <a:lt2>
        <a:srgbClr val="EBEBEB"/>
      </a:lt2>
      <a:accent1>
        <a:srgbClr val="74002C"/>
      </a:accent1>
      <a:accent2>
        <a:srgbClr val="1DCAF6"/>
      </a:accent2>
      <a:accent3>
        <a:srgbClr val="006BB8"/>
      </a:accent3>
      <a:accent4>
        <a:srgbClr val="74002C"/>
      </a:accent4>
      <a:accent5>
        <a:srgbClr val="6ACAA3"/>
      </a:accent5>
      <a:accent6>
        <a:srgbClr val="40619D"/>
      </a:accent6>
      <a:hlink>
        <a:srgbClr val="828282"/>
      </a:hlink>
      <a:folHlink>
        <a:srgbClr val="A5A5A5"/>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ited_Students xmlns="c5c62f92-cf4c-4483-8260-fb4cd8d63ce1" xsi:nil="true"/>
    <TeamsChannelId xmlns="c5c62f92-cf4c-4483-8260-fb4cd8d63ce1" xsi:nil="true"/>
    <Self_Registration_Enabled xmlns="c5c62f92-cf4c-4483-8260-fb4cd8d63ce1" xsi:nil="true"/>
    <Math_Settings xmlns="c5c62f92-cf4c-4483-8260-fb4cd8d63ce1" xsi:nil="true"/>
    <Distribution_Groups xmlns="c5c62f92-cf4c-4483-8260-fb4cd8d63ce1" xsi:nil="true"/>
    <DefaultSectionNames xmlns="c5c62f92-cf4c-4483-8260-fb4cd8d63ce1" xsi:nil="true"/>
    <Is_Collaboration_Space_Locked xmlns="c5c62f92-cf4c-4483-8260-fb4cd8d63ce1" xsi:nil="true"/>
    <Invited_Teachers xmlns="c5c62f92-cf4c-4483-8260-fb4cd8d63ce1" xsi:nil="true"/>
    <Teams_Channel_Section_Location xmlns="c5c62f92-cf4c-4483-8260-fb4cd8d63ce1" xsi:nil="true"/>
    <Owner xmlns="c5c62f92-cf4c-4483-8260-fb4cd8d63ce1">
      <UserInfo>
        <DisplayName/>
        <AccountId xsi:nil="true"/>
        <AccountType/>
      </UserInfo>
    </Owner>
    <CultureName xmlns="c5c62f92-cf4c-4483-8260-fb4cd8d63ce1" xsi:nil="true"/>
    <Student_Groups xmlns="c5c62f92-cf4c-4483-8260-fb4cd8d63ce1">
      <UserInfo>
        <DisplayName/>
        <AccountId xsi:nil="true"/>
        <AccountType/>
      </UserInfo>
    </Student_Groups>
    <AppVersion xmlns="c5c62f92-cf4c-4483-8260-fb4cd8d63ce1" xsi:nil="true"/>
    <LMS_Mappings xmlns="c5c62f92-cf4c-4483-8260-fb4cd8d63ce1" xsi:nil="true"/>
    <_activity xmlns="c5c62f92-cf4c-4483-8260-fb4cd8d63ce1" xsi:nil="true"/>
    <NotebookType xmlns="c5c62f92-cf4c-4483-8260-fb4cd8d63ce1" xsi:nil="true"/>
    <Students xmlns="c5c62f92-cf4c-4483-8260-fb4cd8d63ce1">
      <UserInfo>
        <DisplayName/>
        <AccountId xsi:nil="true"/>
        <AccountType/>
      </UserInfo>
    </Students>
    <IsNotebookLocked xmlns="c5c62f92-cf4c-4483-8260-fb4cd8d63ce1" xsi:nil="true"/>
    <Templates xmlns="c5c62f92-cf4c-4483-8260-fb4cd8d63ce1" xsi:nil="true"/>
    <Has_Teacher_Only_SectionGroup xmlns="c5c62f92-cf4c-4483-8260-fb4cd8d63ce1" xsi:nil="true"/>
    <FolderType xmlns="c5c62f92-cf4c-4483-8260-fb4cd8d63ce1" xsi:nil="true"/>
    <Teachers xmlns="c5c62f92-cf4c-4483-8260-fb4cd8d63ce1">
      <UserInfo>
        <DisplayName/>
        <AccountId xsi:nil="true"/>
        <AccountType/>
      </UserInfo>
    </Teach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7ACEA45AC84854F8B80E25E0394512E" ma:contentTypeVersion="36" ma:contentTypeDescription="Create a new document." ma:contentTypeScope="" ma:versionID="d4ea4bb203c259c2bcc2119a5d12eb6d">
  <xsd:schema xmlns:xsd="http://www.w3.org/2001/XMLSchema" xmlns:xs="http://www.w3.org/2001/XMLSchema" xmlns:p="http://schemas.microsoft.com/office/2006/metadata/properties" xmlns:ns3="c5c62f92-cf4c-4483-8260-fb4cd8d63ce1" xmlns:ns4="de710222-b4e9-4f1d-8fb1-edb441c9a422" targetNamespace="http://schemas.microsoft.com/office/2006/metadata/properties" ma:root="true" ma:fieldsID="b4ee3de80d592d9ff10ab4fe5177b243" ns3:_="" ns4:_="">
    <xsd:import namespace="c5c62f92-cf4c-4483-8260-fb4cd8d63ce1"/>
    <xsd:import namespace="de710222-b4e9-4f1d-8fb1-edb441c9a422"/>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TeamsChannelId" minOccurs="0"/>
                <xsd:element ref="ns3:Math_Settings" minOccurs="0"/>
                <xsd:element ref="ns3:Distribution_Groups" minOccurs="0"/>
                <xsd:element ref="ns3:LMS_Mappings" minOccurs="0"/>
                <xsd:element ref="ns3:IsNotebookLocked" minOccurs="0"/>
                <xsd:element ref="ns3:MediaServiceGenerationTime" minOccurs="0"/>
                <xsd:element ref="ns3:MediaServiceEventHashCode" minOccurs="0"/>
                <xsd:element ref="ns3:MediaServiceAutoKeyPoints" minOccurs="0"/>
                <xsd:element ref="ns3:MediaServiceKeyPoints" minOccurs="0"/>
                <xsd:element ref="ns3:Teams_Channel_Section_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62f92-cf4c-4483-8260-fb4cd8d63ce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Location" ma:index="30" nillable="true" ma:displayName="MediaServiceLocation" ma:descrip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TeamsChannelId" ma:index="32" nillable="true" ma:displayName="Teams Channel Id" ma:internalName="TeamsChannelId">
      <xsd:simpleType>
        <xsd:restriction base="dms:Text"/>
      </xsd:simpleType>
    </xsd:element>
    <xsd:element name="Math_Settings" ma:index="33" nillable="true" ma:displayName="Math Settings" ma:internalName="Math_Settings">
      <xsd:simpleType>
        <xsd:restriction base="dms:Text"/>
      </xsd:simple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sNotebookLocked" ma:index="36" nillable="true" ma:displayName="Is Notebook Locked" ma:internalName="IsNotebookLocked">
      <xsd:simpleType>
        <xsd:restriction base="dms:Boolea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element name="_activity" ma:index="4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710222-b4e9-4f1d-8fb1-edb441c9a422"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247398-CA80-49E9-BF7B-609350E30753}">
  <ds:schemaRefs>
    <ds:schemaRef ds:uri="http://schemas.microsoft.com/office/2006/metadata/properties"/>
    <ds:schemaRef ds:uri="http://schemas.microsoft.com/office/infopath/2007/PartnerControls"/>
    <ds:schemaRef ds:uri="c5c62f92-cf4c-4483-8260-fb4cd8d63ce1"/>
  </ds:schemaRefs>
</ds:datastoreItem>
</file>

<file path=customXml/itemProps2.xml><?xml version="1.0" encoding="utf-8"?>
<ds:datastoreItem xmlns:ds="http://schemas.openxmlformats.org/officeDocument/2006/customXml" ds:itemID="{3156706B-7F45-4E6E-B07A-5083FD660C3A}">
  <ds:schemaRefs>
    <ds:schemaRef ds:uri="http://schemas.microsoft.com/sharepoint/v3/contenttype/forms"/>
  </ds:schemaRefs>
</ds:datastoreItem>
</file>

<file path=customXml/itemProps3.xml><?xml version="1.0" encoding="utf-8"?>
<ds:datastoreItem xmlns:ds="http://schemas.openxmlformats.org/officeDocument/2006/customXml" ds:itemID="{ADD7E8F3-1643-42EA-8EB0-2E83C5986376}">
  <ds:schemaRefs>
    <ds:schemaRef ds:uri="http://schemas.openxmlformats.org/officeDocument/2006/bibliography"/>
  </ds:schemaRefs>
</ds:datastoreItem>
</file>

<file path=customXml/itemProps4.xml><?xml version="1.0" encoding="utf-8"?>
<ds:datastoreItem xmlns:ds="http://schemas.openxmlformats.org/officeDocument/2006/customXml" ds:itemID="{98545419-77EF-44E8-A481-60D6BA98A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62f92-cf4c-4483-8260-fb4cd8d63ce1"/>
    <ds:schemaRef ds:uri="de710222-b4e9-4f1d-8fb1-edb441c9a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Policy Template Jan 2022.dotx</Template>
  <TotalTime>1</TotalTime>
  <Pages>7</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Sheergill</dc:creator>
  <cp:keywords/>
  <cp:lastModifiedBy>R Pierce</cp:lastModifiedBy>
  <cp:revision>3</cp:revision>
  <cp:lastPrinted>2023-02-15T11:23:00Z</cp:lastPrinted>
  <dcterms:created xsi:type="dcterms:W3CDTF">2023-02-16T11:13:00Z</dcterms:created>
  <dcterms:modified xsi:type="dcterms:W3CDTF">2023-02-16T17:47:00Z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y fmtid="{D5CDD505-2E9C-101B-9397-08002B2CF9AE}" pid="3" name="ContentTypeId">
    <vt:lpwstr>0x010100D7ACEA45AC84854F8B80E25E0394512E</vt:lpwstr>
  </property>
  <property fmtid="{D5CDD505-2E9C-101B-9397-08002B2CF9AE}" pid="4" name="Order">
    <vt:r8>6800</vt:r8>
  </property>
  <property fmtid="{D5CDD505-2E9C-101B-9397-08002B2CF9AE}" pid="5" name="MediaServiceImageTags">
    <vt:lpwstr/>
  </property>
</Properties>
</file>